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4D59" w14:textId="77777777" w:rsidR="00DD772A" w:rsidRPr="002C2422" w:rsidRDefault="00DD772A" w:rsidP="00DD772A">
      <w:pPr>
        <w:pStyle w:val="Heading3"/>
      </w:pPr>
      <w:bookmarkStart w:id="0" w:name="_Toc75686410"/>
      <w:r w:rsidRPr="002C2422">
        <w:t>Hosting Hospital Checklist</w:t>
      </w:r>
      <w:bookmarkEnd w:id="0"/>
      <w:r w:rsidRPr="002C2422">
        <w:t xml:space="preserve"> </w:t>
      </w:r>
    </w:p>
    <w:tbl>
      <w:tblPr>
        <w:tblStyle w:val="TableGrid"/>
        <w:tblW w:w="5343" w:type="pct"/>
        <w:jc w:val="center"/>
        <w:tblLook w:val="04A0" w:firstRow="1" w:lastRow="0" w:firstColumn="1" w:lastColumn="0" w:noHBand="0" w:noVBand="1"/>
      </w:tblPr>
      <w:tblGrid>
        <w:gridCol w:w="5290"/>
        <w:gridCol w:w="1310"/>
        <w:gridCol w:w="3034"/>
      </w:tblGrid>
      <w:tr w:rsidR="00DD772A" w:rsidRPr="004F2FD0" w14:paraId="1657255A" w14:textId="77777777" w:rsidTr="00DD772A">
        <w:trPr>
          <w:cantSplit/>
          <w:tblHeader/>
          <w:jc w:val="center"/>
        </w:trPr>
        <w:tc>
          <w:tcPr>
            <w:tcW w:w="5665" w:type="dxa"/>
            <w:shd w:val="clear" w:color="auto" w:fill="7F7F7F" w:themeFill="text1" w:themeFillTint="80"/>
          </w:tcPr>
          <w:p w14:paraId="144ADF8F" w14:textId="77777777" w:rsidR="00DD772A" w:rsidRPr="004F2FD0" w:rsidRDefault="00DD772A" w:rsidP="00413383">
            <w:pPr>
              <w:pStyle w:val="TableHeading"/>
              <w:rPr>
                <w:color w:val="FFFFFF" w:themeColor="background1"/>
                <w:sz w:val="24"/>
                <w:szCs w:val="24"/>
              </w:rPr>
            </w:pPr>
            <w:r w:rsidRPr="004F2FD0">
              <w:rPr>
                <w:color w:val="FFFFFF" w:themeColor="background1"/>
                <w:sz w:val="24"/>
                <w:szCs w:val="24"/>
              </w:rPr>
              <w:t>Task</w:t>
            </w:r>
          </w:p>
        </w:tc>
        <w:tc>
          <w:tcPr>
            <w:tcW w:w="616" w:type="dxa"/>
            <w:shd w:val="clear" w:color="auto" w:fill="7F7F7F" w:themeFill="text1" w:themeFillTint="80"/>
          </w:tcPr>
          <w:p w14:paraId="176F382B" w14:textId="77777777" w:rsidR="00DD772A" w:rsidRPr="004F2FD0" w:rsidRDefault="00DD772A" w:rsidP="00413383">
            <w:pPr>
              <w:pStyle w:val="TableHeading"/>
              <w:rPr>
                <w:color w:val="FFFFFF" w:themeColor="background1"/>
                <w:sz w:val="24"/>
                <w:szCs w:val="24"/>
              </w:rPr>
            </w:pPr>
            <w:r w:rsidRPr="004F2FD0">
              <w:rPr>
                <w:color w:val="FFFFFF" w:themeColor="background1"/>
                <w:sz w:val="24"/>
                <w:szCs w:val="24"/>
              </w:rPr>
              <w:t>Complete</w:t>
            </w:r>
          </w:p>
        </w:tc>
        <w:tc>
          <w:tcPr>
            <w:tcW w:w="3353" w:type="dxa"/>
            <w:shd w:val="clear" w:color="auto" w:fill="7F7F7F" w:themeFill="text1" w:themeFillTint="80"/>
          </w:tcPr>
          <w:p w14:paraId="20CA9231" w14:textId="77777777" w:rsidR="00DD772A" w:rsidRPr="004F2FD0" w:rsidRDefault="00DD772A" w:rsidP="00413383">
            <w:pPr>
              <w:pStyle w:val="TableHeading"/>
              <w:rPr>
                <w:color w:val="FFFFFF" w:themeColor="background1"/>
                <w:sz w:val="24"/>
                <w:szCs w:val="24"/>
              </w:rPr>
            </w:pPr>
            <w:r w:rsidRPr="004F2FD0">
              <w:rPr>
                <w:color w:val="FFFFFF" w:themeColor="background1"/>
                <w:sz w:val="24"/>
                <w:szCs w:val="24"/>
              </w:rPr>
              <w:t>Comments</w:t>
            </w:r>
          </w:p>
        </w:tc>
      </w:tr>
      <w:tr w:rsidR="00DD772A" w:rsidRPr="009A4D71" w14:paraId="6920B359" w14:textId="77777777" w:rsidTr="00DD772A">
        <w:trPr>
          <w:cantSplit/>
          <w:jc w:val="center"/>
        </w:trPr>
        <w:tc>
          <w:tcPr>
            <w:tcW w:w="5665" w:type="dxa"/>
            <w:shd w:val="clear" w:color="auto" w:fill="DDD9C3"/>
          </w:tcPr>
          <w:p w14:paraId="2840AABA" w14:textId="77777777" w:rsidR="00DD772A" w:rsidRPr="009A4D71" w:rsidRDefault="00DD772A" w:rsidP="00413383">
            <w:pPr>
              <w:pStyle w:val="TableText"/>
              <w:rPr>
                <w:b/>
                <w:sz w:val="24"/>
                <w:szCs w:val="24"/>
              </w:rPr>
            </w:pPr>
            <w:r w:rsidRPr="009A4D71">
              <w:rPr>
                <w:b/>
                <w:sz w:val="24"/>
                <w:szCs w:val="24"/>
              </w:rPr>
              <w:t>Week before the exam</w:t>
            </w:r>
          </w:p>
        </w:tc>
        <w:tc>
          <w:tcPr>
            <w:tcW w:w="616" w:type="dxa"/>
            <w:shd w:val="clear" w:color="auto" w:fill="DDD9C3"/>
            <w:vAlign w:val="center"/>
          </w:tcPr>
          <w:p w14:paraId="53E2662B" w14:textId="77777777" w:rsidR="00DD772A" w:rsidRPr="009A4D71" w:rsidRDefault="00DD772A" w:rsidP="00413383">
            <w:pPr>
              <w:pStyle w:val="TableText"/>
              <w:jc w:val="center"/>
              <w:rPr>
                <w:b/>
                <w:sz w:val="24"/>
                <w:szCs w:val="24"/>
              </w:rPr>
            </w:pPr>
          </w:p>
        </w:tc>
        <w:tc>
          <w:tcPr>
            <w:tcW w:w="3353" w:type="dxa"/>
            <w:shd w:val="clear" w:color="auto" w:fill="DDD9C3"/>
          </w:tcPr>
          <w:p w14:paraId="2F76517B" w14:textId="77777777" w:rsidR="00DD772A" w:rsidRPr="009A4D71" w:rsidRDefault="00DD772A" w:rsidP="00413383">
            <w:pPr>
              <w:pStyle w:val="TableText"/>
              <w:rPr>
                <w:b/>
                <w:sz w:val="24"/>
                <w:szCs w:val="24"/>
              </w:rPr>
            </w:pPr>
          </w:p>
        </w:tc>
      </w:tr>
      <w:tr w:rsidR="00DD772A" w:rsidRPr="00667198" w14:paraId="60990565" w14:textId="77777777" w:rsidTr="00A90FC2">
        <w:trPr>
          <w:cantSplit/>
          <w:jc w:val="center"/>
        </w:trPr>
        <w:tc>
          <w:tcPr>
            <w:tcW w:w="5665" w:type="dxa"/>
            <w:shd w:val="clear" w:color="auto" w:fill="auto"/>
          </w:tcPr>
          <w:p w14:paraId="268D4B1B" w14:textId="77777777" w:rsidR="00DD772A" w:rsidRPr="000D4486" w:rsidRDefault="00DD772A" w:rsidP="00DD772A">
            <w:pPr>
              <w:pStyle w:val="TableText"/>
              <w:numPr>
                <w:ilvl w:val="0"/>
                <w:numId w:val="1"/>
              </w:numPr>
              <w:rPr>
                <w:bCs/>
              </w:rPr>
            </w:pPr>
            <w:r>
              <w:rPr>
                <w:bCs/>
              </w:rPr>
              <w:t>Received consent forms from all patients including reserves.</w:t>
            </w:r>
          </w:p>
        </w:tc>
        <w:tc>
          <w:tcPr>
            <w:tcW w:w="616" w:type="dxa"/>
            <w:shd w:val="clear" w:color="auto" w:fill="FFFFFF" w:themeFill="background1"/>
            <w:vAlign w:val="center"/>
          </w:tcPr>
          <w:p w14:paraId="15870242" w14:textId="7870EE11" w:rsidR="00DD772A" w:rsidRPr="005B604F" w:rsidRDefault="00A90FC2" w:rsidP="00413383">
            <w:pPr>
              <w:pStyle w:val="TableText"/>
              <w:jc w:val="center"/>
              <w:rPr>
                <w:b/>
                <w:color w:val="FFFFFF" w:themeColor="background1"/>
              </w:rP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776E6156" w14:textId="77777777" w:rsidR="00DD772A" w:rsidRPr="00667198" w:rsidRDefault="00DD772A" w:rsidP="00413383">
            <w:pPr>
              <w:pStyle w:val="TableText"/>
              <w:rPr>
                <w:bCs/>
              </w:rPr>
            </w:pPr>
            <w:r>
              <w:rPr>
                <w:bCs/>
              </w:rPr>
              <w:t>Template</w:t>
            </w:r>
            <w:r w:rsidRPr="00667198">
              <w:rPr>
                <w:bCs/>
              </w:rPr>
              <w:t xml:space="preserve"> on Alfresco</w:t>
            </w:r>
          </w:p>
        </w:tc>
      </w:tr>
      <w:tr w:rsidR="00DD772A" w:rsidRPr="00667198" w14:paraId="3E6E95F7" w14:textId="77777777" w:rsidTr="00DD772A">
        <w:trPr>
          <w:cantSplit/>
          <w:jc w:val="center"/>
        </w:trPr>
        <w:tc>
          <w:tcPr>
            <w:tcW w:w="5665" w:type="dxa"/>
            <w:shd w:val="clear" w:color="auto" w:fill="auto"/>
          </w:tcPr>
          <w:p w14:paraId="6970D5EC" w14:textId="77777777" w:rsidR="00DD772A" w:rsidRPr="000D4486" w:rsidRDefault="00DD772A" w:rsidP="00DD772A">
            <w:pPr>
              <w:pStyle w:val="TableText"/>
              <w:numPr>
                <w:ilvl w:val="0"/>
                <w:numId w:val="1"/>
              </w:numPr>
              <w:rPr>
                <w:bCs/>
              </w:rPr>
            </w:pPr>
            <w:r>
              <w:rPr>
                <w:bCs/>
              </w:rPr>
              <w:t>R</w:t>
            </w:r>
            <w:r w:rsidRPr="000D4486">
              <w:rPr>
                <w:bCs/>
              </w:rPr>
              <w:t xml:space="preserve">eceived all Sitting Hospital </w:t>
            </w:r>
            <w:r>
              <w:rPr>
                <w:bCs/>
              </w:rPr>
              <w:t xml:space="preserve">and NEP </w:t>
            </w:r>
            <w:r w:rsidRPr="000D4486">
              <w:rPr>
                <w:bCs/>
              </w:rPr>
              <w:t xml:space="preserve">contacts from the College </w:t>
            </w:r>
            <w:r>
              <w:rPr>
                <w:bCs/>
              </w:rPr>
              <w:t xml:space="preserve">(for </w:t>
            </w:r>
            <w:r w:rsidRPr="000D4486">
              <w:rPr>
                <w:bCs/>
              </w:rPr>
              <w:t>sending the P</w:t>
            </w:r>
            <w:r>
              <w:rPr>
                <w:bCs/>
              </w:rPr>
              <w:t>hysical Examination Findings Form (P</w:t>
            </w:r>
            <w:r w:rsidRPr="000D4486">
              <w:rPr>
                <w:bCs/>
              </w:rPr>
              <w:t>EFF</w:t>
            </w:r>
            <w:r>
              <w:rPr>
                <w:bCs/>
              </w:rPr>
              <w:t>)</w:t>
            </w:r>
            <w:r w:rsidRPr="000D4486">
              <w:rPr>
                <w:bCs/>
              </w:rPr>
              <w:t xml:space="preserve"> and Investigation Reports</w:t>
            </w:r>
            <w:r>
              <w:rPr>
                <w:bCs/>
              </w:rPr>
              <w:t>).</w:t>
            </w:r>
          </w:p>
        </w:tc>
        <w:tc>
          <w:tcPr>
            <w:tcW w:w="616" w:type="dxa"/>
            <w:shd w:val="clear" w:color="auto" w:fill="auto"/>
            <w:vAlign w:val="center"/>
          </w:tcPr>
          <w:p w14:paraId="28CB9D98" w14:textId="77777777" w:rsidR="00DD772A" w:rsidRPr="005B604F" w:rsidRDefault="00DD772A" w:rsidP="00413383">
            <w:pPr>
              <w:pStyle w:val="TableText"/>
              <w:jc w:val="center"/>
              <w:rPr>
                <w:b/>
                <w:color w:val="FFFFFF" w:themeColor="background1"/>
              </w:rP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2669A869" w14:textId="77777777" w:rsidR="00DD772A" w:rsidRPr="00667198" w:rsidRDefault="00DD772A" w:rsidP="00413383">
            <w:pPr>
              <w:pStyle w:val="TableText"/>
              <w:rPr>
                <w:bCs/>
              </w:rPr>
            </w:pPr>
            <w:r>
              <w:rPr>
                <w:bCs/>
              </w:rPr>
              <w:t xml:space="preserve">Will receive from </w:t>
            </w:r>
            <w:proofErr w:type="gramStart"/>
            <w:r>
              <w:rPr>
                <w:bCs/>
              </w:rPr>
              <w:t>College</w:t>
            </w:r>
            <w:proofErr w:type="gramEnd"/>
            <w:r>
              <w:rPr>
                <w:bCs/>
              </w:rPr>
              <w:t xml:space="preserve"> approx. 3-5 days before exam. </w:t>
            </w:r>
          </w:p>
        </w:tc>
      </w:tr>
      <w:tr w:rsidR="00DD772A" w:rsidRPr="00667198" w14:paraId="3279A8F3" w14:textId="77777777" w:rsidTr="00DD772A">
        <w:trPr>
          <w:cantSplit/>
          <w:jc w:val="center"/>
        </w:trPr>
        <w:tc>
          <w:tcPr>
            <w:tcW w:w="5665" w:type="dxa"/>
            <w:shd w:val="clear" w:color="auto" w:fill="auto"/>
          </w:tcPr>
          <w:p w14:paraId="337C0C0F" w14:textId="77777777" w:rsidR="00DD772A" w:rsidRDefault="00DD772A" w:rsidP="00DD772A">
            <w:pPr>
              <w:pStyle w:val="TableText"/>
              <w:numPr>
                <w:ilvl w:val="0"/>
                <w:numId w:val="1"/>
              </w:numPr>
              <w:rPr>
                <w:bCs/>
              </w:rPr>
            </w:pPr>
            <w:r>
              <w:rPr>
                <w:bCs/>
              </w:rPr>
              <w:t xml:space="preserve">Complete all patient case allocations </w:t>
            </w:r>
          </w:p>
        </w:tc>
        <w:tc>
          <w:tcPr>
            <w:tcW w:w="616" w:type="dxa"/>
            <w:shd w:val="clear" w:color="auto" w:fill="auto"/>
            <w:vAlign w:val="center"/>
          </w:tcPr>
          <w:p w14:paraId="38E7616F"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1F91ABD4" w14:textId="77777777" w:rsidR="00DD772A" w:rsidRPr="00667198" w:rsidRDefault="00DD772A" w:rsidP="00413383">
            <w:pPr>
              <w:pStyle w:val="TableText"/>
              <w:rPr>
                <w:bCs/>
              </w:rPr>
            </w:pPr>
            <w:r>
              <w:rPr>
                <w:bCs/>
              </w:rPr>
              <w:t>Candidate schedule templates available on Alfresco</w:t>
            </w:r>
          </w:p>
        </w:tc>
      </w:tr>
      <w:tr w:rsidR="00DD772A" w:rsidRPr="00667198" w14:paraId="48B0C1E9" w14:textId="77777777" w:rsidTr="00DD772A">
        <w:trPr>
          <w:cantSplit/>
          <w:jc w:val="center"/>
        </w:trPr>
        <w:tc>
          <w:tcPr>
            <w:tcW w:w="5665" w:type="dxa"/>
            <w:shd w:val="clear" w:color="auto" w:fill="auto"/>
          </w:tcPr>
          <w:p w14:paraId="00535051" w14:textId="77777777" w:rsidR="00DD772A" w:rsidRPr="000D4486" w:rsidRDefault="00DD772A" w:rsidP="00DD772A">
            <w:pPr>
              <w:pStyle w:val="TableText"/>
              <w:numPr>
                <w:ilvl w:val="0"/>
                <w:numId w:val="1"/>
              </w:numPr>
              <w:rPr>
                <w:bCs/>
              </w:rPr>
            </w:pPr>
            <w:r>
              <w:rPr>
                <w:bCs/>
              </w:rPr>
              <w:t>Received t</w:t>
            </w:r>
            <w:r w:rsidRPr="000D4486">
              <w:rPr>
                <w:bCs/>
              </w:rPr>
              <w:t>eleconference numbers and passcodes</w:t>
            </w:r>
            <w:r>
              <w:rPr>
                <w:bCs/>
              </w:rPr>
              <w:t xml:space="preserve"> </w:t>
            </w:r>
            <w:r w:rsidRPr="000D4486">
              <w:rPr>
                <w:bCs/>
              </w:rPr>
              <w:t>from the College</w:t>
            </w:r>
            <w:r>
              <w:rPr>
                <w:bCs/>
              </w:rPr>
              <w:t xml:space="preserve"> (if requested).</w:t>
            </w:r>
          </w:p>
        </w:tc>
        <w:tc>
          <w:tcPr>
            <w:tcW w:w="616" w:type="dxa"/>
            <w:shd w:val="clear" w:color="auto" w:fill="auto"/>
            <w:vAlign w:val="center"/>
          </w:tcPr>
          <w:p w14:paraId="173CE555" w14:textId="77777777" w:rsidR="00DD772A" w:rsidRPr="005B604F" w:rsidRDefault="00DD772A" w:rsidP="00413383">
            <w:pPr>
              <w:pStyle w:val="TableText"/>
              <w:jc w:val="center"/>
              <w:rPr>
                <w:b/>
                <w:color w:val="FFFFFF" w:themeColor="background1"/>
              </w:rP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1636A04F" w14:textId="77777777" w:rsidR="00DD772A" w:rsidRPr="00667198" w:rsidRDefault="00DD772A" w:rsidP="00413383">
            <w:pPr>
              <w:pStyle w:val="TableText"/>
              <w:rPr>
                <w:bCs/>
              </w:rPr>
            </w:pPr>
          </w:p>
        </w:tc>
      </w:tr>
      <w:tr w:rsidR="00DD772A" w:rsidRPr="00667198" w14:paraId="303B6D0A" w14:textId="77777777" w:rsidTr="00DD772A">
        <w:trPr>
          <w:cantSplit/>
          <w:jc w:val="center"/>
        </w:trPr>
        <w:tc>
          <w:tcPr>
            <w:tcW w:w="5665" w:type="dxa"/>
            <w:shd w:val="clear" w:color="auto" w:fill="auto"/>
          </w:tcPr>
          <w:p w14:paraId="400BD10E" w14:textId="77777777" w:rsidR="00DD772A" w:rsidRDefault="00DD772A" w:rsidP="00DD772A">
            <w:pPr>
              <w:pStyle w:val="TableText"/>
              <w:numPr>
                <w:ilvl w:val="0"/>
                <w:numId w:val="1"/>
              </w:numPr>
              <w:rPr>
                <w:bCs/>
              </w:rPr>
            </w:pPr>
            <w:r>
              <w:rPr>
                <w:bCs/>
              </w:rPr>
              <w:t>Allocated teleconference numbers (one against each patient, noting can reuse numbers if holding an afternoon session)</w:t>
            </w:r>
          </w:p>
        </w:tc>
        <w:tc>
          <w:tcPr>
            <w:tcW w:w="616" w:type="dxa"/>
            <w:shd w:val="clear" w:color="auto" w:fill="auto"/>
            <w:vAlign w:val="center"/>
          </w:tcPr>
          <w:p w14:paraId="205FE818"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1A57AAAD" w14:textId="77777777" w:rsidR="00DD772A" w:rsidRPr="00667198" w:rsidRDefault="00DD772A" w:rsidP="00413383">
            <w:pPr>
              <w:pStyle w:val="TableText"/>
              <w:rPr>
                <w:bCs/>
              </w:rPr>
            </w:pPr>
          </w:p>
        </w:tc>
      </w:tr>
      <w:tr w:rsidR="00DD772A" w:rsidRPr="00667198" w14:paraId="5517473A" w14:textId="77777777" w:rsidTr="00DD772A">
        <w:trPr>
          <w:cantSplit/>
          <w:jc w:val="center"/>
        </w:trPr>
        <w:tc>
          <w:tcPr>
            <w:tcW w:w="5665" w:type="dxa"/>
            <w:shd w:val="clear" w:color="auto" w:fill="auto"/>
          </w:tcPr>
          <w:p w14:paraId="72D2E954" w14:textId="77777777" w:rsidR="00DD772A" w:rsidRDefault="00DD772A" w:rsidP="00DD772A">
            <w:pPr>
              <w:pStyle w:val="TableText"/>
              <w:numPr>
                <w:ilvl w:val="0"/>
                <w:numId w:val="1"/>
              </w:numPr>
              <w:rPr>
                <w:bCs/>
              </w:rPr>
            </w:pPr>
            <w:r>
              <w:rPr>
                <w:bCs/>
              </w:rPr>
              <w:t>Complete the Patient Summary Form</w:t>
            </w:r>
          </w:p>
        </w:tc>
        <w:tc>
          <w:tcPr>
            <w:tcW w:w="616" w:type="dxa"/>
            <w:shd w:val="clear" w:color="auto" w:fill="auto"/>
            <w:vAlign w:val="center"/>
          </w:tcPr>
          <w:p w14:paraId="204E2D69"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7230CC37" w14:textId="77777777" w:rsidR="00DD772A" w:rsidRPr="00667198" w:rsidRDefault="00DD772A" w:rsidP="00413383">
            <w:pPr>
              <w:pStyle w:val="TableText"/>
              <w:rPr>
                <w:bCs/>
              </w:rPr>
            </w:pPr>
            <w:r>
              <w:rPr>
                <w:bCs/>
              </w:rPr>
              <w:t>Template</w:t>
            </w:r>
            <w:r w:rsidRPr="00667198">
              <w:rPr>
                <w:bCs/>
              </w:rPr>
              <w:t xml:space="preserve"> on Alfresco</w:t>
            </w:r>
          </w:p>
        </w:tc>
      </w:tr>
      <w:tr w:rsidR="00DD772A" w:rsidRPr="00667198" w14:paraId="3CB75FDC" w14:textId="77777777" w:rsidTr="00DD772A">
        <w:trPr>
          <w:cantSplit/>
          <w:jc w:val="center"/>
        </w:trPr>
        <w:tc>
          <w:tcPr>
            <w:tcW w:w="5665" w:type="dxa"/>
            <w:shd w:val="clear" w:color="auto" w:fill="auto"/>
          </w:tcPr>
          <w:p w14:paraId="79144F9D" w14:textId="77777777" w:rsidR="00DD772A" w:rsidRDefault="00DD772A" w:rsidP="00DD772A">
            <w:pPr>
              <w:pStyle w:val="TableText"/>
              <w:numPr>
                <w:ilvl w:val="0"/>
                <w:numId w:val="1"/>
              </w:numPr>
              <w:rPr>
                <w:bCs/>
              </w:rPr>
            </w:pPr>
            <w:r>
              <w:rPr>
                <w:bCs/>
              </w:rPr>
              <w:t>Completed the PEFF, including adding relevant teleconference number and host password into the form</w:t>
            </w:r>
          </w:p>
        </w:tc>
        <w:tc>
          <w:tcPr>
            <w:tcW w:w="616" w:type="dxa"/>
            <w:shd w:val="clear" w:color="auto" w:fill="auto"/>
            <w:vAlign w:val="center"/>
          </w:tcPr>
          <w:p w14:paraId="1B3F282F"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60F54726" w14:textId="77777777" w:rsidR="00DD772A" w:rsidRPr="00667198" w:rsidRDefault="00DD772A" w:rsidP="00413383">
            <w:pPr>
              <w:pStyle w:val="TableText"/>
              <w:rPr>
                <w:bCs/>
              </w:rPr>
            </w:pPr>
            <w:r>
              <w:rPr>
                <w:bCs/>
              </w:rPr>
              <w:t>Template</w:t>
            </w:r>
            <w:r w:rsidRPr="00667198">
              <w:rPr>
                <w:bCs/>
              </w:rPr>
              <w:t xml:space="preserve"> on Alfresco</w:t>
            </w:r>
          </w:p>
        </w:tc>
      </w:tr>
      <w:tr w:rsidR="00DD772A" w:rsidRPr="00667198" w14:paraId="4445E8CB" w14:textId="77777777" w:rsidTr="00DD772A">
        <w:trPr>
          <w:cantSplit/>
          <w:jc w:val="center"/>
        </w:trPr>
        <w:tc>
          <w:tcPr>
            <w:tcW w:w="5665" w:type="dxa"/>
            <w:shd w:val="clear" w:color="auto" w:fill="auto"/>
          </w:tcPr>
          <w:p w14:paraId="61E559B4" w14:textId="77777777" w:rsidR="00DD772A" w:rsidRDefault="00DD772A" w:rsidP="00DD772A">
            <w:pPr>
              <w:pStyle w:val="TableText"/>
              <w:numPr>
                <w:ilvl w:val="0"/>
                <w:numId w:val="1"/>
              </w:numPr>
              <w:rPr>
                <w:bCs/>
              </w:rPr>
            </w:pPr>
            <w:r>
              <w:rPr>
                <w:bCs/>
              </w:rPr>
              <w:t>Gathered the Investigation Reports for each patient and completed the Investigation Report Log</w:t>
            </w:r>
          </w:p>
        </w:tc>
        <w:tc>
          <w:tcPr>
            <w:tcW w:w="616" w:type="dxa"/>
            <w:shd w:val="clear" w:color="auto" w:fill="auto"/>
            <w:vAlign w:val="center"/>
          </w:tcPr>
          <w:p w14:paraId="36AF45FA"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7D1C5DC2" w14:textId="77777777" w:rsidR="00DD772A" w:rsidRPr="00667198" w:rsidRDefault="00DD772A" w:rsidP="00413383">
            <w:pPr>
              <w:pStyle w:val="TableText"/>
              <w:rPr>
                <w:bCs/>
              </w:rPr>
            </w:pPr>
            <w:r>
              <w:rPr>
                <w:bCs/>
              </w:rPr>
              <w:t>Template</w:t>
            </w:r>
            <w:r w:rsidRPr="00667198">
              <w:rPr>
                <w:bCs/>
              </w:rPr>
              <w:t xml:space="preserve"> on Alfresco</w:t>
            </w:r>
          </w:p>
        </w:tc>
      </w:tr>
      <w:tr w:rsidR="00DD772A" w:rsidRPr="00667198" w14:paraId="240B83BC" w14:textId="77777777" w:rsidTr="00DD772A">
        <w:trPr>
          <w:cantSplit/>
          <w:jc w:val="center"/>
        </w:trPr>
        <w:tc>
          <w:tcPr>
            <w:tcW w:w="5665" w:type="dxa"/>
            <w:shd w:val="clear" w:color="auto" w:fill="auto"/>
          </w:tcPr>
          <w:p w14:paraId="49007D66" w14:textId="77777777" w:rsidR="00DD772A" w:rsidRPr="000D4486" w:rsidRDefault="00DD772A" w:rsidP="00DD772A">
            <w:pPr>
              <w:pStyle w:val="TableText"/>
              <w:numPr>
                <w:ilvl w:val="0"/>
                <w:numId w:val="1"/>
              </w:numPr>
              <w:rPr>
                <w:bCs/>
              </w:rPr>
            </w:pPr>
            <w:r>
              <w:rPr>
                <w:bCs/>
              </w:rPr>
              <w:t>Sent t</w:t>
            </w:r>
            <w:r w:rsidRPr="000D4486">
              <w:rPr>
                <w:bCs/>
              </w:rPr>
              <w:t>eleconference number</w:t>
            </w:r>
            <w:r>
              <w:rPr>
                <w:bCs/>
              </w:rPr>
              <w:t>s</w:t>
            </w:r>
            <w:r w:rsidRPr="000D4486">
              <w:rPr>
                <w:bCs/>
              </w:rPr>
              <w:t xml:space="preserve"> </w:t>
            </w:r>
            <w:r>
              <w:rPr>
                <w:bCs/>
              </w:rPr>
              <w:t xml:space="preserve">with the guest </w:t>
            </w:r>
            <w:r w:rsidRPr="000D4486">
              <w:rPr>
                <w:bCs/>
              </w:rPr>
              <w:t>passcode</w:t>
            </w:r>
            <w:r>
              <w:rPr>
                <w:bCs/>
              </w:rPr>
              <w:t>s</w:t>
            </w:r>
            <w:r w:rsidRPr="000D4486">
              <w:rPr>
                <w:bCs/>
              </w:rPr>
              <w:t xml:space="preserve"> to</w:t>
            </w:r>
            <w:r>
              <w:rPr>
                <w:bCs/>
              </w:rPr>
              <w:t xml:space="preserve"> any patients participating in the exam off-site. Prepared printed copies for on-site patients.</w:t>
            </w:r>
          </w:p>
        </w:tc>
        <w:tc>
          <w:tcPr>
            <w:tcW w:w="616" w:type="dxa"/>
            <w:shd w:val="clear" w:color="auto" w:fill="auto"/>
            <w:vAlign w:val="center"/>
          </w:tcPr>
          <w:p w14:paraId="32D7A119" w14:textId="77777777" w:rsidR="00DD772A" w:rsidRPr="005B604F" w:rsidRDefault="00DD772A" w:rsidP="00413383">
            <w:pPr>
              <w:pStyle w:val="TableText"/>
              <w:jc w:val="center"/>
              <w:rPr>
                <w:b/>
                <w:color w:val="FFFFFF" w:themeColor="background1"/>
              </w:rP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154C1D44" w14:textId="77777777" w:rsidR="00DD772A" w:rsidRPr="00667198" w:rsidRDefault="00DD772A" w:rsidP="00413383">
            <w:pPr>
              <w:pStyle w:val="TableText"/>
              <w:rPr>
                <w:bCs/>
              </w:rPr>
            </w:pPr>
          </w:p>
        </w:tc>
      </w:tr>
      <w:tr w:rsidR="00DD772A" w:rsidRPr="00667198" w14:paraId="7E732D51" w14:textId="77777777" w:rsidTr="00DD772A">
        <w:trPr>
          <w:cantSplit/>
          <w:jc w:val="center"/>
        </w:trPr>
        <w:tc>
          <w:tcPr>
            <w:tcW w:w="5665" w:type="dxa"/>
            <w:shd w:val="clear" w:color="auto" w:fill="auto"/>
          </w:tcPr>
          <w:p w14:paraId="68C98874" w14:textId="77777777" w:rsidR="00DD772A" w:rsidRPr="000D4486" w:rsidRDefault="00DD772A" w:rsidP="00DD772A">
            <w:pPr>
              <w:pStyle w:val="TableText"/>
              <w:numPr>
                <w:ilvl w:val="0"/>
                <w:numId w:val="1"/>
              </w:numPr>
              <w:rPr>
                <w:bCs/>
              </w:rPr>
            </w:pPr>
            <w:r>
              <w:rPr>
                <w:bCs/>
              </w:rPr>
              <w:t>Provided off-site</w:t>
            </w:r>
            <w:r w:rsidRPr="000D4486">
              <w:rPr>
                <w:bCs/>
              </w:rPr>
              <w:t xml:space="preserve"> patient</w:t>
            </w:r>
            <w:r>
              <w:rPr>
                <w:bCs/>
              </w:rPr>
              <w:t>s</w:t>
            </w:r>
            <w:r w:rsidRPr="000D4486">
              <w:rPr>
                <w:bCs/>
              </w:rPr>
              <w:t xml:space="preserve"> </w:t>
            </w:r>
            <w:r>
              <w:rPr>
                <w:bCs/>
              </w:rPr>
              <w:t xml:space="preserve">with hospital exam day </w:t>
            </w:r>
            <w:r w:rsidRPr="000D4486">
              <w:rPr>
                <w:bCs/>
              </w:rPr>
              <w:t>contact details</w:t>
            </w:r>
            <w:r>
              <w:rPr>
                <w:bCs/>
              </w:rPr>
              <w:t xml:space="preserve"> to report cancellation, delays, or technical issues.</w:t>
            </w:r>
          </w:p>
        </w:tc>
        <w:tc>
          <w:tcPr>
            <w:tcW w:w="616" w:type="dxa"/>
            <w:shd w:val="clear" w:color="auto" w:fill="auto"/>
            <w:vAlign w:val="center"/>
          </w:tcPr>
          <w:p w14:paraId="1684BD15" w14:textId="77777777" w:rsidR="00DD772A" w:rsidRPr="005B604F" w:rsidRDefault="00DD772A" w:rsidP="00413383">
            <w:pPr>
              <w:pStyle w:val="TableText"/>
              <w:jc w:val="center"/>
              <w:rPr>
                <w:b/>
                <w:color w:val="FFFFFF" w:themeColor="background1"/>
              </w:rP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7D569A87" w14:textId="77777777" w:rsidR="00DD772A" w:rsidRPr="00667198" w:rsidRDefault="00DD772A" w:rsidP="00413383">
            <w:pPr>
              <w:pStyle w:val="TableText"/>
              <w:rPr>
                <w:bCs/>
              </w:rPr>
            </w:pPr>
          </w:p>
        </w:tc>
      </w:tr>
      <w:tr w:rsidR="00DD772A" w:rsidRPr="00667198" w14:paraId="57D7D964" w14:textId="77777777" w:rsidTr="00DD772A">
        <w:trPr>
          <w:cantSplit/>
          <w:jc w:val="center"/>
        </w:trPr>
        <w:tc>
          <w:tcPr>
            <w:tcW w:w="5665" w:type="dxa"/>
            <w:shd w:val="clear" w:color="auto" w:fill="auto"/>
          </w:tcPr>
          <w:p w14:paraId="239E7B6E" w14:textId="77777777" w:rsidR="00DD772A" w:rsidRPr="000D4486" w:rsidDel="007D7B96" w:rsidRDefault="00DD772A" w:rsidP="00DD772A">
            <w:pPr>
              <w:pStyle w:val="TableText"/>
              <w:numPr>
                <w:ilvl w:val="0"/>
                <w:numId w:val="1"/>
              </w:numPr>
              <w:rPr>
                <w:bCs/>
              </w:rPr>
            </w:pPr>
            <w:r>
              <w:rPr>
                <w:bCs/>
              </w:rPr>
              <w:t>Booked all taxis or parking for on-site patients.</w:t>
            </w:r>
          </w:p>
        </w:tc>
        <w:tc>
          <w:tcPr>
            <w:tcW w:w="616" w:type="dxa"/>
            <w:shd w:val="clear" w:color="auto" w:fill="auto"/>
            <w:vAlign w:val="center"/>
          </w:tcPr>
          <w:p w14:paraId="11F2004F"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0C0285E8" w14:textId="77777777" w:rsidR="00DD772A" w:rsidRPr="00667198" w:rsidRDefault="00DD772A" w:rsidP="00413383">
            <w:pPr>
              <w:pStyle w:val="TableText"/>
              <w:rPr>
                <w:bCs/>
              </w:rPr>
            </w:pPr>
          </w:p>
        </w:tc>
      </w:tr>
      <w:tr w:rsidR="00DD772A" w:rsidRPr="00667198" w14:paraId="12000700" w14:textId="77777777" w:rsidTr="00DD772A">
        <w:trPr>
          <w:cantSplit/>
          <w:jc w:val="center"/>
        </w:trPr>
        <w:tc>
          <w:tcPr>
            <w:tcW w:w="5665" w:type="dxa"/>
            <w:shd w:val="clear" w:color="auto" w:fill="auto"/>
          </w:tcPr>
          <w:p w14:paraId="0EBBAF71" w14:textId="77777777" w:rsidR="00DD772A" w:rsidRPr="000D4486" w:rsidRDefault="00DD772A" w:rsidP="00DD772A">
            <w:pPr>
              <w:pStyle w:val="TableText"/>
              <w:numPr>
                <w:ilvl w:val="0"/>
                <w:numId w:val="1"/>
              </w:numPr>
              <w:rPr>
                <w:bCs/>
              </w:rPr>
            </w:pPr>
            <w:r>
              <w:rPr>
                <w:bCs/>
              </w:rPr>
              <w:t xml:space="preserve">Phoned all patients for final check-in. Ensure they have read all the required documents and are comfortable with the exam process. If joining from home </w:t>
            </w:r>
            <w:proofErr w:type="gramStart"/>
            <w:r>
              <w:rPr>
                <w:bCs/>
              </w:rPr>
              <w:t>check</w:t>
            </w:r>
            <w:proofErr w:type="gramEnd"/>
            <w:r>
              <w:rPr>
                <w:bCs/>
              </w:rPr>
              <w:t xml:space="preserve"> they have their teleconference passcode and that their phone is operational with adequate volume and headphones as required.</w:t>
            </w:r>
          </w:p>
        </w:tc>
        <w:tc>
          <w:tcPr>
            <w:tcW w:w="616" w:type="dxa"/>
            <w:shd w:val="clear" w:color="auto" w:fill="auto"/>
            <w:vAlign w:val="center"/>
          </w:tcPr>
          <w:p w14:paraId="51463AEC"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0E4F4468" w14:textId="77777777" w:rsidR="00DD772A" w:rsidRPr="00667198" w:rsidRDefault="00DD772A" w:rsidP="00413383">
            <w:pPr>
              <w:pStyle w:val="TableText"/>
              <w:rPr>
                <w:bCs/>
              </w:rPr>
            </w:pPr>
          </w:p>
        </w:tc>
      </w:tr>
      <w:tr w:rsidR="00DD772A" w:rsidRPr="00667198" w14:paraId="2824FD8D" w14:textId="77777777" w:rsidTr="00DD772A">
        <w:trPr>
          <w:cantSplit/>
          <w:jc w:val="center"/>
        </w:trPr>
        <w:tc>
          <w:tcPr>
            <w:tcW w:w="5665" w:type="dxa"/>
            <w:shd w:val="clear" w:color="auto" w:fill="auto"/>
          </w:tcPr>
          <w:p w14:paraId="26194DD7" w14:textId="77777777" w:rsidR="00DD772A" w:rsidRDefault="00DD772A" w:rsidP="00DD772A">
            <w:pPr>
              <w:pStyle w:val="TableText"/>
              <w:numPr>
                <w:ilvl w:val="0"/>
                <w:numId w:val="1"/>
              </w:numPr>
              <w:rPr>
                <w:bCs/>
              </w:rPr>
            </w:pPr>
            <w:r>
              <w:rPr>
                <w:rFonts w:cs="Arial"/>
                <w:bCs/>
                <w:szCs w:val="18"/>
              </w:rPr>
              <w:t>Ensure Sitting Site contact has been informed of any patient changes.</w:t>
            </w:r>
          </w:p>
        </w:tc>
        <w:tc>
          <w:tcPr>
            <w:tcW w:w="616" w:type="dxa"/>
            <w:shd w:val="clear" w:color="auto" w:fill="auto"/>
            <w:vAlign w:val="center"/>
          </w:tcPr>
          <w:p w14:paraId="33CBE57B"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302F7840" w14:textId="77777777" w:rsidR="00DD772A" w:rsidRPr="00667198" w:rsidRDefault="00DD772A" w:rsidP="00413383">
            <w:pPr>
              <w:pStyle w:val="TableText"/>
              <w:rPr>
                <w:bCs/>
              </w:rPr>
            </w:pPr>
          </w:p>
        </w:tc>
      </w:tr>
      <w:tr w:rsidR="00DD772A" w:rsidRPr="00667198" w14:paraId="26D76CA7" w14:textId="77777777" w:rsidTr="00DD772A">
        <w:trPr>
          <w:cantSplit/>
          <w:jc w:val="center"/>
        </w:trPr>
        <w:tc>
          <w:tcPr>
            <w:tcW w:w="5665" w:type="dxa"/>
            <w:shd w:val="clear" w:color="auto" w:fill="auto"/>
          </w:tcPr>
          <w:p w14:paraId="2E1FDCF2" w14:textId="77777777" w:rsidR="00DD772A" w:rsidRPr="008A3B99" w:rsidRDefault="00DD772A" w:rsidP="00DD772A">
            <w:pPr>
              <w:pStyle w:val="TableText"/>
              <w:numPr>
                <w:ilvl w:val="0"/>
                <w:numId w:val="1"/>
              </w:numPr>
              <w:rPr>
                <w:rFonts w:eastAsiaTheme="majorEastAsia" w:cstheme="majorBidi"/>
                <w:b/>
                <w:bCs/>
                <w:color w:val="000000" w:themeColor="text1"/>
              </w:rPr>
            </w:pPr>
            <w:r>
              <w:t xml:space="preserve">Emailed signed </w:t>
            </w:r>
            <w:r w:rsidRPr="003526AE">
              <w:t>patient consent forms</w:t>
            </w:r>
            <w:r>
              <w:t xml:space="preserve"> (including</w:t>
            </w:r>
            <w:r w:rsidRPr="003526AE">
              <w:t xml:space="preserve"> hospital name</w:t>
            </w:r>
            <w:r>
              <w:t>)</w:t>
            </w:r>
            <w:r w:rsidRPr="003526AE">
              <w:t xml:space="preserve"> </w:t>
            </w:r>
            <w:r>
              <w:t xml:space="preserve">to </w:t>
            </w:r>
            <w:hyperlink r:id="rId8" w:history="1">
              <w:r w:rsidRPr="004C3407">
                <w:rPr>
                  <w:rStyle w:val="Hyperlink"/>
                  <w:color w:val="0000FF"/>
                  <w:u w:val="single"/>
                </w:rPr>
                <w:t>DCE@racp.edu.au</w:t>
              </w:r>
            </w:hyperlink>
            <w:r w:rsidRPr="004C3407">
              <w:rPr>
                <w:color w:val="0000FF"/>
              </w:rPr>
              <w:t xml:space="preserve"> </w:t>
            </w:r>
          </w:p>
        </w:tc>
        <w:tc>
          <w:tcPr>
            <w:tcW w:w="616" w:type="dxa"/>
            <w:shd w:val="clear" w:color="auto" w:fill="auto"/>
            <w:vAlign w:val="center"/>
          </w:tcPr>
          <w:p w14:paraId="176BF7C6" w14:textId="77777777" w:rsidR="00DD772A" w:rsidRPr="005B604F" w:rsidRDefault="00DD772A" w:rsidP="00413383">
            <w:pPr>
              <w:pStyle w:val="TableText"/>
              <w:jc w:val="center"/>
              <w:rPr>
                <w:b/>
                <w:color w:val="FFFFFF" w:themeColor="background1"/>
              </w:rP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240D21D3" w14:textId="77777777" w:rsidR="00DD772A" w:rsidRPr="00667198" w:rsidRDefault="00DD772A" w:rsidP="00413383">
            <w:pPr>
              <w:pStyle w:val="TableText"/>
              <w:rPr>
                <w:bCs/>
              </w:rPr>
            </w:pPr>
          </w:p>
        </w:tc>
      </w:tr>
      <w:tr w:rsidR="00DD772A" w:rsidRPr="009A4D71" w14:paraId="371DA706" w14:textId="77777777" w:rsidTr="00DD772A">
        <w:trPr>
          <w:cantSplit/>
          <w:jc w:val="center"/>
        </w:trPr>
        <w:tc>
          <w:tcPr>
            <w:tcW w:w="5665" w:type="dxa"/>
            <w:shd w:val="clear" w:color="auto" w:fill="DDD9C3"/>
          </w:tcPr>
          <w:p w14:paraId="317003B5" w14:textId="77777777" w:rsidR="00DD772A" w:rsidRPr="009A4D71" w:rsidRDefault="00DD772A" w:rsidP="00413383">
            <w:pPr>
              <w:pStyle w:val="TableText"/>
              <w:rPr>
                <w:b/>
                <w:sz w:val="24"/>
                <w:szCs w:val="24"/>
              </w:rPr>
            </w:pPr>
            <w:r w:rsidRPr="009A4D71">
              <w:rPr>
                <w:b/>
                <w:sz w:val="24"/>
                <w:szCs w:val="24"/>
              </w:rPr>
              <w:t>Day before the exam</w:t>
            </w:r>
            <w:r>
              <w:rPr>
                <w:b/>
                <w:sz w:val="24"/>
                <w:szCs w:val="24"/>
              </w:rPr>
              <w:t xml:space="preserve"> </w:t>
            </w:r>
            <w:r w:rsidRPr="004D6B66">
              <w:rPr>
                <w:bCs/>
                <w:i/>
                <w:iCs/>
                <w:color w:val="8496B0" w:themeColor="text2" w:themeTint="99"/>
                <w:sz w:val="22"/>
              </w:rPr>
              <w:t>(note: if the exam is a Sunday, you may want to do by the Friday)</w:t>
            </w:r>
          </w:p>
        </w:tc>
        <w:tc>
          <w:tcPr>
            <w:tcW w:w="616" w:type="dxa"/>
            <w:shd w:val="clear" w:color="auto" w:fill="DDD9C3"/>
            <w:vAlign w:val="center"/>
          </w:tcPr>
          <w:p w14:paraId="314B03B5" w14:textId="77777777" w:rsidR="00DD772A" w:rsidRPr="009A4D71" w:rsidRDefault="00DD772A" w:rsidP="00413383">
            <w:pPr>
              <w:pStyle w:val="TableText"/>
              <w:jc w:val="center"/>
              <w:rPr>
                <w:b/>
              </w:rPr>
            </w:pPr>
          </w:p>
        </w:tc>
        <w:tc>
          <w:tcPr>
            <w:tcW w:w="3353" w:type="dxa"/>
            <w:shd w:val="clear" w:color="auto" w:fill="DDD9C3"/>
          </w:tcPr>
          <w:p w14:paraId="25D9FF23" w14:textId="77777777" w:rsidR="00DD772A" w:rsidRPr="009A4D71" w:rsidRDefault="00DD772A" w:rsidP="00413383">
            <w:pPr>
              <w:pStyle w:val="TableText"/>
              <w:rPr>
                <w:b/>
              </w:rPr>
            </w:pPr>
          </w:p>
        </w:tc>
      </w:tr>
      <w:tr w:rsidR="00DD772A" w14:paraId="06AA0C87" w14:textId="77777777" w:rsidTr="00DD772A">
        <w:trPr>
          <w:cantSplit/>
          <w:jc w:val="center"/>
        </w:trPr>
        <w:tc>
          <w:tcPr>
            <w:tcW w:w="5665" w:type="dxa"/>
          </w:tcPr>
          <w:p w14:paraId="079D6BB2" w14:textId="77777777" w:rsidR="00DD772A" w:rsidRDefault="00DD772A" w:rsidP="00DD772A">
            <w:pPr>
              <w:pStyle w:val="TableText"/>
              <w:numPr>
                <w:ilvl w:val="0"/>
                <w:numId w:val="2"/>
              </w:numPr>
            </w:pPr>
            <w:r>
              <w:t>Email PEFFs to assigned Sitting Hospitals by 3pm AEST (Recommendation – email Reserve patient PEFFs as well in case of a late patient swap)</w:t>
            </w:r>
          </w:p>
        </w:tc>
        <w:tc>
          <w:tcPr>
            <w:tcW w:w="616" w:type="dxa"/>
            <w:vAlign w:val="center"/>
          </w:tcPr>
          <w:p w14:paraId="3D394F53"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tcPr>
          <w:p w14:paraId="5AA4FDD0" w14:textId="77777777" w:rsidR="00DD772A" w:rsidRDefault="00DD772A" w:rsidP="00413383">
            <w:pPr>
              <w:pStyle w:val="TableText"/>
            </w:pPr>
            <w:r>
              <w:t xml:space="preserve">If the exam day is a Sunday, please make sure they have by 3pm on the Friday rather than the day before (as that is a Saturday when many hospitals </w:t>
            </w:r>
            <w:proofErr w:type="gramStart"/>
            <w:r>
              <w:t>won’t</w:t>
            </w:r>
            <w:proofErr w:type="gramEnd"/>
            <w:r>
              <w:t xml:space="preserve"> be staffed to receive them). </w:t>
            </w:r>
          </w:p>
        </w:tc>
      </w:tr>
      <w:tr w:rsidR="00DD772A" w14:paraId="0A723B68" w14:textId="77777777" w:rsidTr="00DD772A">
        <w:trPr>
          <w:cantSplit/>
          <w:jc w:val="center"/>
        </w:trPr>
        <w:tc>
          <w:tcPr>
            <w:tcW w:w="5665" w:type="dxa"/>
          </w:tcPr>
          <w:p w14:paraId="44AF431A" w14:textId="77777777" w:rsidR="00DD772A" w:rsidRDefault="00DD772A" w:rsidP="00DD772A">
            <w:pPr>
              <w:pStyle w:val="TableText"/>
              <w:numPr>
                <w:ilvl w:val="0"/>
                <w:numId w:val="2"/>
              </w:numPr>
            </w:pPr>
            <w:r>
              <w:lastRenderedPageBreak/>
              <w:t>Email the following to the relevant NEPs, and the Local Examiner (if not going to be on site on exam day), by 3pm AEST:</w:t>
            </w:r>
          </w:p>
          <w:p w14:paraId="12AE0ECB" w14:textId="77777777" w:rsidR="00DD772A" w:rsidRDefault="00DD772A" w:rsidP="00DD772A">
            <w:pPr>
              <w:pStyle w:val="TableText"/>
              <w:numPr>
                <w:ilvl w:val="0"/>
                <w:numId w:val="4"/>
              </w:numPr>
            </w:pPr>
            <w:r>
              <w:t>Patient Summary</w:t>
            </w:r>
          </w:p>
          <w:p w14:paraId="3A7A4D20" w14:textId="77777777" w:rsidR="00DD772A" w:rsidRDefault="00DD772A" w:rsidP="00DD772A">
            <w:pPr>
              <w:pStyle w:val="TableText"/>
              <w:numPr>
                <w:ilvl w:val="0"/>
                <w:numId w:val="4"/>
              </w:numPr>
            </w:pPr>
            <w:r>
              <w:t xml:space="preserve">PEFF (including host passcodes) </w:t>
            </w:r>
          </w:p>
          <w:p w14:paraId="00ED9421" w14:textId="77777777" w:rsidR="00DD772A" w:rsidRDefault="00DD772A" w:rsidP="00DD772A">
            <w:pPr>
              <w:pStyle w:val="TableText"/>
              <w:numPr>
                <w:ilvl w:val="0"/>
                <w:numId w:val="4"/>
              </w:numPr>
            </w:pPr>
            <w:r>
              <w:t>Deidentified Investigation Reports (X-ray, ECG etc)</w:t>
            </w:r>
          </w:p>
          <w:p w14:paraId="35585EC0" w14:textId="77777777" w:rsidR="00DD772A" w:rsidRPr="004D6B66" w:rsidRDefault="00DD772A" w:rsidP="00DD772A">
            <w:pPr>
              <w:pStyle w:val="TableText"/>
              <w:numPr>
                <w:ilvl w:val="0"/>
                <w:numId w:val="4"/>
              </w:numPr>
            </w:pPr>
            <w:r>
              <w:t>Investigation Report Log</w:t>
            </w:r>
          </w:p>
        </w:tc>
        <w:tc>
          <w:tcPr>
            <w:tcW w:w="616" w:type="dxa"/>
            <w:vAlign w:val="center"/>
          </w:tcPr>
          <w:p w14:paraId="1A37BE66"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p w14:paraId="67901B71" w14:textId="77777777" w:rsidR="00DD772A" w:rsidRPr="004D6B66" w:rsidRDefault="00DD772A" w:rsidP="00413383"/>
          <w:p w14:paraId="1E79B214" w14:textId="77777777" w:rsidR="00DD772A" w:rsidRPr="004D6B66" w:rsidRDefault="00DD772A" w:rsidP="00413383"/>
          <w:p w14:paraId="3DB17A57" w14:textId="77777777" w:rsidR="00DD772A" w:rsidRDefault="00DD772A" w:rsidP="00413383">
            <w:pPr>
              <w:rPr>
                <w:sz w:val="18"/>
              </w:rPr>
            </w:pPr>
          </w:p>
          <w:p w14:paraId="5CAF239C" w14:textId="77777777" w:rsidR="00DD772A" w:rsidRPr="004D6B66" w:rsidRDefault="00DD772A" w:rsidP="00413383"/>
        </w:tc>
        <w:tc>
          <w:tcPr>
            <w:tcW w:w="3353" w:type="dxa"/>
          </w:tcPr>
          <w:p w14:paraId="45F606DE" w14:textId="77777777" w:rsidR="00DD772A" w:rsidRDefault="00DD772A" w:rsidP="00413383">
            <w:pPr>
              <w:pStyle w:val="TableText"/>
            </w:pPr>
          </w:p>
        </w:tc>
      </w:tr>
      <w:tr w:rsidR="00DD772A" w14:paraId="434B3B9E" w14:textId="77777777" w:rsidTr="00DD772A">
        <w:trPr>
          <w:cantSplit/>
          <w:jc w:val="center"/>
        </w:trPr>
        <w:tc>
          <w:tcPr>
            <w:tcW w:w="5665" w:type="dxa"/>
          </w:tcPr>
          <w:p w14:paraId="5B5DC691" w14:textId="77777777" w:rsidR="00DD772A" w:rsidDel="004043F0" w:rsidRDefault="00DD772A" w:rsidP="00DD772A">
            <w:pPr>
              <w:pStyle w:val="TableText"/>
              <w:numPr>
                <w:ilvl w:val="0"/>
                <w:numId w:val="2"/>
              </w:numPr>
            </w:pPr>
            <w:r>
              <w:t>Follow up with Sitting Hospitals to confirm they have received all PEFFs.</w:t>
            </w:r>
          </w:p>
        </w:tc>
        <w:tc>
          <w:tcPr>
            <w:tcW w:w="616" w:type="dxa"/>
            <w:vAlign w:val="center"/>
          </w:tcPr>
          <w:p w14:paraId="379794F3"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tcPr>
          <w:p w14:paraId="4D39F3CF" w14:textId="77777777" w:rsidR="00DD772A" w:rsidRDefault="00DD772A" w:rsidP="00413383">
            <w:pPr>
              <w:pStyle w:val="TableText"/>
            </w:pPr>
          </w:p>
        </w:tc>
      </w:tr>
      <w:tr w:rsidR="00DD772A" w:rsidRPr="00F552A7" w14:paraId="782EAD21" w14:textId="77777777" w:rsidTr="00DD772A">
        <w:trPr>
          <w:cantSplit/>
          <w:jc w:val="center"/>
        </w:trPr>
        <w:tc>
          <w:tcPr>
            <w:tcW w:w="5665" w:type="dxa"/>
          </w:tcPr>
          <w:p w14:paraId="383AFA0F" w14:textId="77777777" w:rsidR="00DD772A" w:rsidRDefault="00DD772A" w:rsidP="00DD772A">
            <w:pPr>
              <w:pStyle w:val="TableText"/>
              <w:numPr>
                <w:ilvl w:val="0"/>
                <w:numId w:val="2"/>
              </w:numPr>
            </w:pPr>
            <w:r>
              <w:rPr>
                <w:bCs/>
              </w:rPr>
              <w:t xml:space="preserve">Follow up with NEPs and Local Examiners (if off-site) to confirm they have received Patient Summaries, PEFFs and Investigation Reports </w:t>
            </w:r>
          </w:p>
        </w:tc>
        <w:tc>
          <w:tcPr>
            <w:tcW w:w="616" w:type="dxa"/>
            <w:vAlign w:val="center"/>
          </w:tcPr>
          <w:p w14:paraId="4997ED3C"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tcPr>
          <w:p w14:paraId="64750431" w14:textId="77777777" w:rsidR="00DD772A" w:rsidRPr="00F552A7" w:rsidRDefault="00DD772A" w:rsidP="00413383">
            <w:pPr>
              <w:pStyle w:val="TableText"/>
            </w:pPr>
          </w:p>
        </w:tc>
      </w:tr>
      <w:tr w:rsidR="00DD772A" w:rsidRPr="00F552A7" w14:paraId="5CEF7A6B" w14:textId="77777777" w:rsidTr="00DD772A">
        <w:trPr>
          <w:cantSplit/>
          <w:jc w:val="center"/>
        </w:trPr>
        <w:tc>
          <w:tcPr>
            <w:tcW w:w="5665" w:type="dxa"/>
          </w:tcPr>
          <w:p w14:paraId="31B4C952" w14:textId="77777777" w:rsidR="00DD772A" w:rsidRDefault="00DD772A" w:rsidP="00DD772A">
            <w:pPr>
              <w:pStyle w:val="TableText"/>
              <w:numPr>
                <w:ilvl w:val="0"/>
                <w:numId w:val="2"/>
              </w:numPr>
              <w:rPr>
                <w:bCs/>
              </w:rPr>
            </w:pPr>
            <w:r w:rsidRPr="009114EE">
              <w:t>Check the teleconferencing phone</w:t>
            </w:r>
            <w:r>
              <w:t>s</w:t>
            </w:r>
            <w:r w:rsidRPr="009114EE">
              <w:t xml:space="preserve"> </w:t>
            </w:r>
            <w:r>
              <w:t xml:space="preserve">are </w:t>
            </w:r>
            <w:r w:rsidRPr="009114EE">
              <w:t>working </w:t>
            </w:r>
            <w:r>
              <w:t>and test audio and speaker settings.</w:t>
            </w:r>
          </w:p>
        </w:tc>
        <w:tc>
          <w:tcPr>
            <w:tcW w:w="616" w:type="dxa"/>
            <w:vAlign w:val="center"/>
          </w:tcPr>
          <w:p w14:paraId="7F9C0BDA"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tcPr>
          <w:p w14:paraId="207FABD3" w14:textId="77777777" w:rsidR="00DD772A" w:rsidRPr="00F552A7" w:rsidRDefault="00DD772A" w:rsidP="00413383">
            <w:pPr>
              <w:pStyle w:val="TableText"/>
            </w:pPr>
          </w:p>
        </w:tc>
      </w:tr>
      <w:tr w:rsidR="00DD772A" w:rsidRPr="00F552A7" w14:paraId="58DC4365" w14:textId="77777777" w:rsidTr="00DD772A">
        <w:trPr>
          <w:cantSplit/>
          <w:jc w:val="center"/>
        </w:trPr>
        <w:tc>
          <w:tcPr>
            <w:tcW w:w="5665" w:type="dxa"/>
          </w:tcPr>
          <w:p w14:paraId="6A38409F" w14:textId="77777777" w:rsidR="00DD772A" w:rsidRPr="009114EE" w:rsidRDefault="00DD772A" w:rsidP="00DD772A">
            <w:pPr>
              <w:pStyle w:val="TableText"/>
              <w:numPr>
                <w:ilvl w:val="0"/>
                <w:numId w:val="2"/>
              </w:numPr>
            </w:pPr>
            <w:r>
              <w:t>Confirm use of laptop or desktop computers for Local Examiners for Digital Score Sheet (DSS) and check settings (passwords etc).</w:t>
            </w:r>
          </w:p>
        </w:tc>
        <w:tc>
          <w:tcPr>
            <w:tcW w:w="616" w:type="dxa"/>
            <w:vAlign w:val="center"/>
          </w:tcPr>
          <w:p w14:paraId="0B14073B"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tcPr>
          <w:p w14:paraId="1A661264" w14:textId="77777777" w:rsidR="00DD772A" w:rsidRPr="00F552A7" w:rsidRDefault="00DD772A" w:rsidP="00413383">
            <w:pPr>
              <w:pStyle w:val="TableText"/>
            </w:pPr>
          </w:p>
        </w:tc>
      </w:tr>
      <w:tr w:rsidR="00DD772A" w:rsidRPr="00F552A7" w14:paraId="088D111D" w14:textId="77777777" w:rsidTr="00DD772A">
        <w:trPr>
          <w:cantSplit/>
          <w:jc w:val="center"/>
        </w:trPr>
        <w:tc>
          <w:tcPr>
            <w:tcW w:w="5665" w:type="dxa"/>
            <w:shd w:val="clear" w:color="auto" w:fill="auto"/>
          </w:tcPr>
          <w:p w14:paraId="151254F5" w14:textId="77777777" w:rsidR="00DD772A" w:rsidRPr="00876FB6" w:rsidRDefault="00DD772A" w:rsidP="00DD772A">
            <w:pPr>
              <w:pStyle w:val="TableText"/>
              <w:numPr>
                <w:ilvl w:val="0"/>
                <w:numId w:val="2"/>
              </w:numPr>
              <w:rPr>
                <w:b/>
              </w:rPr>
            </w:pPr>
            <w:r>
              <w:t>Ensure there are backup phones available along with speaker capabilities or headphones as required.</w:t>
            </w:r>
          </w:p>
        </w:tc>
        <w:tc>
          <w:tcPr>
            <w:tcW w:w="616" w:type="dxa"/>
            <w:shd w:val="clear" w:color="auto" w:fill="auto"/>
            <w:vAlign w:val="center"/>
          </w:tcPr>
          <w:p w14:paraId="7B51F79E"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12956695" w14:textId="77777777" w:rsidR="00DD772A" w:rsidRPr="00F552A7" w:rsidRDefault="00DD772A" w:rsidP="00413383">
            <w:pPr>
              <w:pStyle w:val="TableText"/>
            </w:pPr>
          </w:p>
        </w:tc>
      </w:tr>
      <w:tr w:rsidR="00DD772A" w:rsidRPr="00F552A7" w14:paraId="5A61D51A" w14:textId="77777777" w:rsidTr="00DD772A">
        <w:trPr>
          <w:cantSplit/>
          <w:jc w:val="center"/>
        </w:trPr>
        <w:tc>
          <w:tcPr>
            <w:tcW w:w="5665" w:type="dxa"/>
            <w:tcBorders>
              <w:top w:val="single" w:sz="4" w:space="0" w:color="auto"/>
              <w:left w:val="single" w:sz="4" w:space="0" w:color="auto"/>
              <w:right w:val="single" w:sz="4" w:space="0" w:color="auto"/>
            </w:tcBorders>
            <w:shd w:val="clear" w:color="auto" w:fill="auto"/>
          </w:tcPr>
          <w:p w14:paraId="26D634BE" w14:textId="77777777" w:rsidR="00DD772A" w:rsidRPr="00876FB6" w:rsidRDefault="00DD772A" w:rsidP="00DD772A">
            <w:pPr>
              <w:pStyle w:val="TableText"/>
              <w:numPr>
                <w:ilvl w:val="0"/>
                <w:numId w:val="2"/>
              </w:numPr>
            </w:pPr>
            <w:r w:rsidRPr="00446029">
              <w:t>Print Examiner Q</w:t>
            </w:r>
            <w:r>
              <w:t>uick Reference Guide (Q</w:t>
            </w:r>
            <w:r w:rsidRPr="00446029">
              <w:t>RG</w:t>
            </w:r>
            <w:r>
              <w:t>) for on-site Local Examiners.</w:t>
            </w:r>
          </w:p>
        </w:tc>
        <w:tc>
          <w:tcPr>
            <w:tcW w:w="616" w:type="dxa"/>
            <w:tcBorders>
              <w:left w:val="single" w:sz="4" w:space="0" w:color="auto"/>
            </w:tcBorders>
            <w:shd w:val="clear" w:color="auto" w:fill="auto"/>
            <w:vAlign w:val="center"/>
          </w:tcPr>
          <w:p w14:paraId="02B22123"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06ADF377" w14:textId="77777777" w:rsidR="00DD772A" w:rsidRPr="00F552A7" w:rsidRDefault="00DD772A" w:rsidP="00413383">
            <w:pPr>
              <w:pStyle w:val="TableText"/>
            </w:pPr>
            <w:r w:rsidRPr="00F552A7">
              <w:t>Available on Alfre</w:t>
            </w:r>
            <w:r>
              <w:t>s</w:t>
            </w:r>
            <w:r w:rsidRPr="00F552A7">
              <w:t>co and on website</w:t>
            </w:r>
          </w:p>
        </w:tc>
      </w:tr>
      <w:tr w:rsidR="00DD772A" w:rsidRPr="00F552A7" w14:paraId="65DD838C" w14:textId="77777777" w:rsidTr="00DD772A">
        <w:trPr>
          <w:cantSplit/>
          <w:jc w:val="center"/>
        </w:trPr>
        <w:tc>
          <w:tcPr>
            <w:tcW w:w="5665" w:type="dxa"/>
            <w:tcBorders>
              <w:top w:val="single" w:sz="4" w:space="0" w:color="auto"/>
              <w:left w:val="single" w:sz="4" w:space="0" w:color="auto"/>
              <w:right w:val="single" w:sz="4" w:space="0" w:color="auto"/>
            </w:tcBorders>
            <w:shd w:val="clear" w:color="auto" w:fill="auto"/>
          </w:tcPr>
          <w:p w14:paraId="7639321B" w14:textId="77777777" w:rsidR="00DD772A" w:rsidRPr="00446029" w:rsidRDefault="00DD772A" w:rsidP="00DD772A">
            <w:pPr>
              <w:pStyle w:val="TableText"/>
              <w:numPr>
                <w:ilvl w:val="0"/>
                <w:numId w:val="2"/>
              </w:numPr>
            </w:pPr>
            <w:r>
              <w:t xml:space="preserve">Check all Local Examiners have printed the Backup Scoring Booklet. If not received please print one (1) copy for each Local Examiner who will be on site and advise off-site Examiners to print a copy. </w:t>
            </w:r>
          </w:p>
        </w:tc>
        <w:tc>
          <w:tcPr>
            <w:tcW w:w="616" w:type="dxa"/>
            <w:tcBorders>
              <w:left w:val="single" w:sz="4" w:space="0" w:color="auto"/>
            </w:tcBorders>
            <w:shd w:val="clear" w:color="auto" w:fill="auto"/>
            <w:vAlign w:val="center"/>
          </w:tcPr>
          <w:p w14:paraId="0B442767"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50A85BFB" w14:textId="77777777" w:rsidR="00DD772A" w:rsidRPr="00F552A7" w:rsidRDefault="00DD772A" w:rsidP="00413383">
            <w:pPr>
              <w:pStyle w:val="TableText"/>
            </w:pPr>
            <w:r>
              <w:rPr>
                <w:bCs/>
              </w:rPr>
              <w:t>Online version available on Alfresco for printing if not received</w:t>
            </w:r>
          </w:p>
        </w:tc>
      </w:tr>
      <w:tr w:rsidR="00DD772A" w:rsidRPr="00F552A7" w14:paraId="641F606B" w14:textId="77777777" w:rsidTr="00DD772A">
        <w:trPr>
          <w:cantSplit/>
          <w:jc w:val="center"/>
        </w:trPr>
        <w:tc>
          <w:tcPr>
            <w:tcW w:w="5665" w:type="dxa"/>
            <w:tcBorders>
              <w:top w:val="single" w:sz="4" w:space="0" w:color="auto"/>
              <w:left w:val="single" w:sz="4" w:space="0" w:color="auto"/>
              <w:right w:val="single" w:sz="4" w:space="0" w:color="auto"/>
            </w:tcBorders>
            <w:shd w:val="clear" w:color="auto" w:fill="auto"/>
          </w:tcPr>
          <w:p w14:paraId="7E0C8A1E" w14:textId="77777777" w:rsidR="00DD772A" w:rsidRPr="00446029" w:rsidRDefault="00DD772A" w:rsidP="00DD772A">
            <w:pPr>
              <w:pStyle w:val="TableText"/>
              <w:numPr>
                <w:ilvl w:val="0"/>
                <w:numId w:val="2"/>
              </w:numPr>
            </w:pPr>
            <w:r>
              <w:t>Prepare on-site Local Examiner name badges.</w:t>
            </w:r>
          </w:p>
        </w:tc>
        <w:tc>
          <w:tcPr>
            <w:tcW w:w="616" w:type="dxa"/>
            <w:tcBorders>
              <w:left w:val="single" w:sz="4" w:space="0" w:color="auto"/>
            </w:tcBorders>
            <w:shd w:val="clear" w:color="auto" w:fill="auto"/>
            <w:vAlign w:val="center"/>
          </w:tcPr>
          <w:p w14:paraId="421B8F31"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36513307" w14:textId="77777777" w:rsidR="00DD772A" w:rsidRPr="00F552A7" w:rsidRDefault="00DD772A" w:rsidP="00413383">
            <w:pPr>
              <w:pStyle w:val="TableText"/>
            </w:pPr>
            <w:r>
              <w:rPr>
                <w:bCs/>
              </w:rPr>
              <w:t>Templates</w:t>
            </w:r>
            <w:r w:rsidRPr="00667198">
              <w:rPr>
                <w:bCs/>
              </w:rPr>
              <w:t xml:space="preserve"> on Alfresco</w:t>
            </w:r>
          </w:p>
        </w:tc>
      </w:tr>
      <w:tr w:rsidR="00DD772A" w:rsidRPr="00F552A7" w14:paraId="158D7EDF" w14:textId="77777777" w:rsidTr="00DD772A">
        <w:trPr>
          <w:cantSplit/>
          <w:jc w:val="center"/>
        </w:trPr>
        <w:tc>
          <w:tcPr>
            <w:tcW w:w="5665" w:type="dxa"/>
            <w:tcBorders>
              <w:top w:val="single" w:sz="4" w:space="0" w:color="auto"/>
              <w:left w:val="single" w:sz="4" w:space="0" w:color="auto"/>
              <w:right w:val="single" w:sz="4" w:space="0" w:color="auto"/>
            </w:tcBorders>
            <w:shd w:val="clear" w:color="auto" w:fill="auto"/>
          </w:tcPr>
          <w:p w14:paraId="22C2D0A6" w14:textId="77777777" w:rsidR="00DD772A" w:rsidDel="003C368A" w:rsidRDefault="00DD772A" w:rsidP="00DD772A">
            <w:pPr>
              <w:pStyle w:val="TableText"/>
              <w:numPr>
                <w:ilvl w:val="0"/>
                <w:numId w:val="2"/>
              </w:numPr>
            </w:pPr>
            <w:r>
              <w:t>Place signage around venue.</w:t>
            </w:r>
          </w:p>
        </w:tc>
        <w:tc>
          <w:tcPr>
            <w:tcW w:w="616" w:type="dxa"/>
            <w:tcBorders>
              <w:left w:val="single" w:sz="4" w:space="0" w:color="auto"/>
            </w:tcBorders>
            <w:shd w:val="clear" w:color="auto" w:fill="auto"/>
            <w:vAlign w:val="center"/>
          </w:tcPr>
          <w:p w14:paraId="26CB39BC"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5D72BB6F" w14:textId="77777777" w:rsidR="00DD772A" w:rsidRPr="00F552A7" w:rsidRDefault="00DD772A" w:rsidP="00413383">
            <w:pPr>
              <w:pStyle w:val="TableText"/>
            </w:pPr>
            <w:r>
              <w:rPr>
                <w:bCs/>
              </w:rPr>
              <w:t>Templates</w:t>
            </w:r>
            <w:r w:rsidRPr="00667198">
              <w:rPr>
                <w:bCs/>
              </w:rPr>
              <w:t xml:space="preserve"> on Alfresco</w:t>
            </w:r>
          </w:p>
        </w:tc>
      </w:tr>
      <w:tr w:rsidR="00DD772A" w:rsidRPr="00F552A7" w14:paraId="5863F408" w14:textId="77777777" w:rsidTr="00DD772A">
        <w:trPr>
          <w:cantSplit/>
          <w:jc w:val="center"/>
        </w:trPr>
        <w:tc>
          <w:tcPr>
            <w:tcW w:w="5665" w:type="dxa"/>
            <w:tcBorders>
              <w:top w:val="single" w:sz="4" w:space="0" w:color="auto"/>
            </w:tcBorders>
            <w:shd w:val="clear" w:color="auto" w:fill="auto"/>
          </w:tcPr>
          <w:p w14:paraId="7048F9EA" w14:textId="77777777" w:rsidR="00DD772A" w:rsidRPr="00446029" w:rsidRDefault="00DD772A" w:rsidP="00DD772A">
            <w:pPr>
              <w:pStyle w:val="TableText"/>
              <w:numPr>
                <w:ilvl w:val="0"/>
                <w:numId w:val="2"/>
              </w:numPr>
            </w:pPr>
            <w:r w:rsidRPr="009114EE">
              <w:t>Confirm catering requirements</w:t>
            </w:r>
            <w:r>
              <w:t xml:space="preserve"> and </w:t>
            </w:r>
            <w:r w:rsidRPr="009114EE">
              <w:t>delivery time</w:t>
            </w:r>
            <w:r>
              <w:t>.</w:t>
            </w:r>
          </w:p>
        </w:tc>
        <w:tc>
          <w:tcPr>
            <w:tcW w:w="616" w:type="dxa"/>
            <w:shd w:val="clear" w:color="auto" w:fill="auto"/>
            <w:vAlign w:val="center"/>
          </w:tcPr>
          <w:p w14:paraId="3AA87C18"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6CAD88BF" w14:textId="77777777" w:rsidR="00DD772A" w:rsidRPr="00F552A7" w:rsidRDefault="00DD772A" w:rsidP="00413383">
            <w:pPr>
              <w:pStyle w:val="TableText"/>
            </w:pPr>
          </w:p>
        </w:tc>
      </w:tr>
      <w:tr w:rsidR="00DD772A" w:rsidRPr="00F552A7" w14:paraId="34094F13" w14:textId="77777777" w:rsidTr="00DD772A">
        <w:trPr>
          <w:cantSplit/>
          <w:jc w:val="center"/>
        </w:trPr>
        <w:tc>
          <w:tcPr>
            <w:tcW w:w="5665" w:type="dxa"/>
            <w:shd w:val="clear" w:color="auto" w:fill="auto"/>
          </w:tcPr>
          <w:p w14:paraId="0D95BF6F" w14:textId="77777777" w:rsidR="00DD772A" w:rsidRPr="00446029" w:rsidRDefault="00DD772A" w:rsidP="00DD772A">
            <w:pPr>
              <w:pStyle w:val="TableText"/>
              <w:numPr>
                <w:ilvl w:val="0"/>
                <w:numId w:val="2"/>
              </w:numPr>
            </w:pPr>
            <w:r w:rsidRPr="009114EE">
              <w:t>Ensure hand sanitiser and face masks are available</w:t>
            </w:r>
            <w:r>
              <w:t xml:space="preserve"> and all other local COVID requirements will be met.</w:t>
            </w:r>
          </w:p>
        </w:tc>
        <w:tc>
          <w:tcPr>
            <w:tcW w:w="616" w:type="dxa"/>
            <w:shd w:val="clear" w:color="auto" w:fill="auto"/>
            <w:vAlign w:val="center"/>
          </w:tcPr>
          <w:p w14:paraId="44DDC7B6"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0B43686A" w14:textId="77777777" w:rsidR="00DD772A" w:rsidRPr="00F552A7" w:rsidRDefault="00DD772A" w:rsidP="00413383">
            <w:pPr>
              <w:pStyle w:val="TableText"/>
            </w:pPr>
          </w:p>
        </w:tc>
      </w:tr>
      <w:tr w:rsidR="00DD772A" w:rsidRPr="009A4D71" w14:paraId="17430314" w14:textId="77777777" w:rsidTr="00DD772A">
        <w:trPr>
          <w:cantSplit/>
          <w:jc w:val="center"/>
        </w:trPr>
        <w:tc>
          <w:tcPr>
            <w:tcW w:w="5665" w:type="dxa"/>
            <w:shd w:val="clear" w:color="auto" w:fill="DDD9C3"/>
          </w:tcPr>
          <w:p w14:paraId="642B57F4" w14:textId="77777777" w:rsidR="00DD772A" w:rsidRPr="009A4D71" w:rsidRDefault="00DD772A" w:rsidP="00413383">
            <w:pPr>
              <w:pStyle w:val="TableText"/>
              <w:rPr>
                <w:b/>
                <w:sz w:val="24"/>
                <w:szCs w:val="24"/>
              </w:rPr>
            </w:pPr>
            <w:r w:rsidRPr="009A4D71">
              <w:rPr>
                <w:b/>
                <w:sz w:val="24"/>
                <w:szCs w:val="24"/>
              </w:rPr>
              <w:t>Before the morning and afternoon sessions:</w:t>
            </w:r>
          </w:p>
        </w:tc>
        <w:tc>
          <w:tcPr>
            <w:tcW w:w="616" w:type="dxa"/>
            <w:shd w:val="clear" w:color="auto" w:fill="DDD9C3"/>
            <w:vAlign w:val="center"/>
          </w:tcPr>
          <w:p w14:paraId="6DDA137D" w14:textId="77777777" w:rsidR="00DD772A" w:rsidRPr="009A4D71" w:rsidRDefault="00DD772A" w:rsidP="00413383">
            <w:pPr>
              <w:pStyle w:val="TableText"/>
              <w:jc w:val="center"/>
              <w:rPr>
                <w:b/>
              </w:rPr>
            </w:pPr>
          </w:p>
        </w:tc>
        <w:tc>
          <w:tcPr>
            <w:tcW w:w="3353" w:type="dxa"/>
            <w:shd w:val="clear" w:color="auto" w:fill="DDD9C3"/>
          </w:tcPr>
          <w:p w14:paraId="622A992B" w14:textId="77777777" w:rsidR="00DD772A" w:rsidRPr="009A4D71" w:rsidRDefault="00DD772A" w:rsidP="00413383">
            <w:pPr>
              <w:pStyle w:val="TableText"/>
              <w:rPr>
                <w:b/>
              </w:rPr>
            </w:pPr>
          </w:p>
        </w:tc>
      </w:tr>
      <w:tr w:rsidR="00DD772A" w:rsidRPr="005B604F" w14:paraId="5641C0F9" w14:textId="77777777" w:rsidTr="00DD772A">
        <w:trPr>
          <w:cantSplit/>
          <w:jc w:val="center"/>
        </w:trPr>
        <w:tc>
          <w:tcPr>
            <w:tcW w:w="5665" w:type="dxa"/>
            <w:shd w:val="clear" w:color="auto" w:fill="auto"/>
          </w:tcPr>
          <w:p w14:paraId="00D9E4CB" w14:textId="77777777" w:rsidR="00DD772A" w:rsidRDefault="00DD772A" w:rsidP="00DD772A">
            <w:pPr>
              <w:pStyle w:val="TableText"/>
              <w:numPr>
                <w:ilvl w:val="0"/>
                <w:numId w:val="6"/>
              </w:numPr>
            </w:pPr>
            <w:r>
              <w:t>Contact off-site patients to confirm they are attending and ready with mobile phone fully charge (if applicable).</w:t>
            </w:r>
          </w:p>
        </w:tc>
        <w:tc>
          <w:tcPr>
            <w:tcW w:w="616" w:type="dxa"/>
            <w:shd w:val="clear" w:color="auto" w:fill="auto"/>
            <w:vAlign w:val="center"/>
          </w:tcPr>
          <w:p w14:paraId="422B0102"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06D28B97" w14:textId="77777777" w:rsidR="00DD772A" w:rsidRPr="005B604F" w:rsidRDefault="00DD772A" w:rsidP="00413383">
            <w:pPr>
              <w:pStyle w:val="TableText"/>
              <w:rPr>
                <w:b/>
                <w:color w:val="FFFFFF" w:themeColor="background1"/>
              </w:rPr>
            </w:pPr>
          </w:p>
        </w:tc>
      </w:tr>
      <w:tr w:rsidR="00DD772A" w:rsidRPr="005B604F" w14:paraId="3D4AECC4" w14:textId="77777777" w:rsidTr="00DD772A">
        <w:trPr>
          <w:cantSplit/>
          <w:jc w:val="center"/>
        </w:trPr>
        <w:tc>
          <w:tcPr>
            <w:tcW w:w="5665" w:type="dxa"/>
            <w:shd w:val="clear" w:color="auto" w:fill="auto"/>
          </w:tcPr>
          <w:p w14:paraId="3394F53D" w14:textId="77777777" w:rsidR="00DD772A" w:rsidRDefault="00DD772A" w:rsidP="00DD772A">
            <w:pPr>
              <w:pStyle w:val="TableText"/>
              <w:numPr>
                <w:ilvl w:val="0"/>
                <w:numId w:val="6"/>
              </w:numPr>
            </w:pPr>
            <w:r>
              <w:t>Check in with NEPs, by phone or text, that they are ready.</w:t>
            </w:r>
          </w:p>
        </w:tc>
        <w:tc>
          <w:tcPr>
            <w:tcW w:w="616" w:type="dxa"/>
            <w:shd w:val="clear" w:color="auto" w:fill="auto"/>
            <w:vAlign w:val="center"/>
          </w:tcPr>
          <w:p w14:paraId="7490E466"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75970294" w14:textId="77777777" w:rsidR="00DD772A" w:rsidRPr="005B604F" w:rsidRDefault="00DD772A" w:rsidP="00413383">
            <w:pPr>
              <w:pStyle w:val="TableText"/>
              <w:rPr>
                <w:b/>
                <w:color w:val="FFFFFF" w:themeColor="background1"/>
              </w:rPr>
            </w:pPr>
          </w:p>
        </w:tc>
      </w:tr>
      <w:tr w:rsidR="00DD772A" w:rsidRPr="005B604F" w14:paraId="34585FBA" w14:textId="77777777" w:rsidTr="00DD772A">
        <w:trPr>
          <w:cantSplit/>
          <w:jc w:val="center"/>
        </w:trPr>
        <w:tc>
          <w:tcPr>
            <w:tcW w:w="5665" w:type="dxa"/>
            <w:shd w:val="clear" w:color="auto" w:fill="auto"/>
          </w:tcPr>
          <w:p w14:paraId="7E69DE8F" w14:textId="77777777" w:rsidR="00DD772A" w:rsidRDefault="00DD772A" w:rsidP="00DD772A">
            <w:pPr>
              <w:pStyle w:val="TableText"/>
              <w:numPr>
                <w:ilvl w:val="0"/>
                <w:numId w:val="6"/>
              </w:numPr>
            </w:pPr>
            <w:r>
              <w:t>If there is a change to NEPs or Local Examiners, advise the College immediately.</w:t>
            </w:r>
          </w:p>
        </w:tc>
        <w:tc>
          <w:tcPr>
            <w:tcW w:w="616" w:type="dxa"/>
            <w:shd w:val="clear" w:color="auto" w:fill="auto"/>
            <w:vAlign w:val="center"/>
          </w:tcPr>
          <w:p w14:paraId="3E8C1F77"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209FFA77" w14:textId="77777777" w:rsidR="00DD772A" w:rsidRPr="005B604F" w:rsidRDefault="00DD772A" w:rsidP="00413383">
            <w:pPr>
              <w:pStyle w:val="TableText"/>
              <w:rPr>
                <w:b/>
                <w:color w:val="FFFFFF" w:themeColor="background1"/>
              </w:rPr>
            </w:pPr>
          </w:p>
        </w:tc>
      </w:tr>
      <w:tr w:rsidR="00DD772A" w:rsidRPr="005B604F" w14:paraId="4E2D8D31" w14:textId="77777777" w:rsidTr="00DD772A">
        <w:trPr>
          <w:cantSplit/>
          <w:jc w:val="center"/>
        </w:trPr>
        <w:tc>
          <w:tcPr>
            <w:tcW w:w="5665" w:type="dxa"/>
            <w:shd w:val="clear" w:color="auto" w:fill="auto"/>
          </w:tcPr>
          <w:p w14:paraId="3D5D3AC3" w14:textId="77777777" w:rsidR="00DD772A" w:rsidRPr="009114EE" w:rsidRDefault="00DD772A" w:rsidP="00DD772A">
            <w:pPr>
              <w:pStyle w:val="TableText"/>
              <w:numPr>
                <w:ilvl w:val="0"/>
                <w:numId w:val="6"/>
              </w:numPr>
            </w:pPr>
            <w:r>
              <w:t>Distribute any additional copies of the Backup Scoring Booklet</w:t>
            </w:r>
          </w:p>
        </w:tc>
        <w:tc>
          <w:tcPr>
            <w:tcW w:w="616" w:type="dxa"/>
            <w:shd w:val="clear" w:color="auto" w:fill="auto"/>
            <w:vAlign w:val="center"/>
          </w:tcPr>
          <w:p w14:paraId="3CA41CA9"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7EEC66B8" w14:textId="77777777" w:rsidR="00DD772A" w:rsidRPr="005B604F" w:rsidRDefault="00DD772A" w:rsidP="00413383">
            <w:pPr>
              <w:pStyle w:val="TableText"/>
              <w:rPr>
                <w:b/>
                <w:color w:val="FFFFFF" w:themeColor="background1"/>
              </w:rPr>
            </w:pPr>
          </w:p>
        </w:tc>
      </w:tr>
      <w:tr w:rsidR="00DD772A" w:rsidRPr="005B604F" w14:paraId="40FA4D1E" w14:textId="77777777" w:rsidTr="00DD772A">
        <w:trPr>
          <w:cantSplit/>
          <w:jc w:val="center"/>
        </w:trPr>
        <w:tc>
          <w:tcPr>
            <w:tcW w:w="5665" w:type="dxa"/>
            <w:shd w:val="clear" w:color="auto" w:fill="auto"/>
          </w:tcPr>
          <w:p w14:paraId="448E5D74" w14:textId="77777777" w:rsidR="00DD772A" w:rsidRPr="00B26065" w:rsidRDefault="00DD772A" w:rsidP="00DD772A">
            <w:pPr>
              <w:pStyle w:val="TableText"/>
              <w:numPr>
                <w:ilvl w:val="0"/>
                <w:numId w:val="6"/>
              </w:numPr>
              <w:rPr>
                <w:bCs/>
              </w:rPr>
            </w:pPr>
            <w:r w:rsidRPr="00B26065">
              <w:rPr>
                <w:bCs/>
              </w:rPr>
              <w:t xml:space="preserve">Assist Local Examiners to log-in to </w:t>
            </w:r>
            <w:r>
              <w:rPr>
                <w:bCs/>
              </w:rPr>
              <w:t xml:space="preserve">the </w:t>
            </w:r>
            <w:r w:rsidRPr="00B26065">
              <w:rPr>
                <w:bCs/>
              </w:rPr>
              <w:t>D</w:t>
            </w:r>
            <w:r>
              <w:rPr>
                <w:bCs/>
              </w:rPr>
              <w:t>igital Score Sheet if requested</w:t>
            </w:r>
            <w:r w:rsidRPr="00B26065">
              <w:rPr>
                <w:bCs/>
              </w:rPr>
              <w:t>. Report any issues immediately to the RACP helpdesk</w:t>
            </w:r>
            <w:r>
              <w:rPr>
                <w:bCs/>
              </w:rPr>
              <w:t xml:space="preserve"> on </w:t>
            </w:r>
            <w:r w:rsidRPr="00B22D36">
              <w:rPr>
                <w:bCs/>
              </w:rPr>
              <w:t>1300 697 227 (+61 2 9256 5444)</w:t>
            </w:r>
            <w:r>
              <w:rPr>
                <w:bCs/>
              </w:rPr>
              <w:t>.</w:t>
            </w:r>
          </w:p>
        </w:tc>
        <w:tc>
          <w:tcPr>
            <w:tcW w:w="616" w:type="dxa"/>
            <w:shd w:val="clear" w:color="auto" w:fill="auto"/>
            <w:vAlign w:val="center"/>
          </w:tcPr>
          <w:p w14:paraId="24A3FE03"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42548EE2" w14:textId="77777777" w:rsidR="00DD772A" w:rsidRPr="005B604F" w:rsidRDefault="00DD772A" w:rsidP="00413383">
            <w:pPr>
              <w:pStyle w:val="TableText"/>
              <w:rPr>
                <w:b/>
                <w:color w:val="FFFFFF" w:themeColor="background1"/>
              </w:rPr>
            </w:pPr>
          </w:p>
        </w:tc>
      </w:tr>
      <w:tr w:rsidR="00DD772A" w:rsidRPr="005B604F" w14:paraId="7A2C329D" w14:textId="77777777" w:rsidTr="00DD772A">
        <w:trPr>
          <w:cantSplit/>
          <w:jc w:val="center"/>
        </w:trPr>
        <w:tc>
          <w:tcPr>
            <w:tcW w:w="5665" w:type="dxa"/>
            <w:shd w:val="clear" w:color="auto" w:fill="auto"/>
          </w:tcPr>
          <w:p w14:paraId="5D6D49A5" w14:textId="77777777" w:rsidR="00DD772A" w:rsidRPr="00B26065" w:rsidRDefault="00DD772A" w:rsidP="00DD772A">
            <w:pPr>
              <w:pStyle w:val="TableText"/>
              <w:numPr>
                <w:ilvl w:val="0"/>
                <w:numId w:val="6"/>
              </w:numPr>
              <w:rPr>
                <w:bCs/>
              </w:rPr>
            </w:pPr>
            <w:r>
              <w:lastRenderedPageBreak/>
              <w:t>If a patient is unable to attend:</w:t>
            </w:r>
          </w:p>
          <w:p w14:paraId="44AF1F4D" w14:textId="77777777" w:rsidR="00DD772A" w:rsidRDefault="00DD772A" w:rsidP="00DD772A">
            <w:pPr>
              <w:pStyle w:val="TableText"/>
              <w:numPr>
                <w:ilvl w:val="0"/>
                <w:numId w:val="5"/>
              </w:numPr>
            </w:pPr>
            <w:r>
              <w:t xml:space="preserve">Contact the reserve patient and provide them with the phone number, guest passcode and timings for their </w:t>
            </w:r>
            <w:proofErr w:type="gramStart"/>
            <w:r>
              <w:t>interviews</w:t>
            </w:r>
            <w:proofErr w:type="gramEnd"/>
          </w:p>
          <w:p w14:paraId="0D509715" w14:textId="77777777" w:rsidR="00DD772A" w:rsidRDefault="00DD772A" w:rsidP="00DD772A">
            <w:pPr>
              <w:pStyle w:val="TableText"/>
              <w:numPr>
                <w:ilvl w:val="0"/>
                <w:numId w:val="5"/>
              </w:numPr>
            </w:pPr>
            <w:r>
              <w:t xml:space="preserve">Phone the Sitting Hospital and NEP to advise of the </w:t>
            </w:r>
            <w:proofErr w:type="gramStart"/>
            <w:r>
              <w:t>change</w:t>
            </w:r>
            <w:proofErr w:type="gramEnd"/>
            <w:r>
              <w:t xml:space="preserve"> </w:t>
            </w:r>
          </w:p>
          <w:p w14:paraId="67C0A664" w14:textId="77777777" w:rsidR="00DD772A" w:rsidRDefault="00DD772A" w:rsidP="00DD772A">
            <w:pPr>
              <w:pStyle w:val="TableText"/>
              <w:numPr>
                <w:ilvl w:val="0"/>
                <w:numId w:val="5"/>
              </w:numPr>
            </w:pPr>
            <w:r>
              <w:t xml:space="preserve">Add the relevant host passcodes to the new patient’s </w:t>
            </w:r>
            <w:proofErr w:type="gramStart"/>
            <w:r>
              <w:t>PEFF</w:t>
            </w:r>
            <w:proofErr w:type="gramEnd"/>
          </w:p>
          <w:p w14:paraId="64BC3925" w14:textId="77777777" w:rsidR="00DD772A" w:rsidRDefault="00DD772A" w:rsidP="00DD772A">
            <w:pPr>
              <w:pStyle w:val="TableText"/>
              <w:numPr>
                <w:ilvl w:val="0"/>
                <w:numId w:val="5"/>
              </w:numPr>
            </w:pPr>
            <w:r>
              <w:t>Email the new PEFF to the Sitting Hospital (if not done previously)</w:t>
            </w:r>
          </w:p>
          <w:p w14:paraId="23E93315" w14:textId="77777777" w:rsidR="00DD772A" w:rsidRDefault="00DD772A" w:rsidP="00DD772A">
            <w:pPr>
              <w:pStyle w:val="TableText"/>
              <w:numPr>
                <w:ilvl w:val="0"/>
                <w:numId w:val="5"/>
              </w:numPr>
            </w:pPr>
            <w:r>
              <w:t>Email the new PEFF, Long Case Patient Summary and Investigation Reports to the NEP (and Local Examiner if off-site)</w:t>
            </w:r>
          </w:p>
          <w:p w14:paraId="44598305" w14:textId="77777777" w:rsidR="00DD772A" w:rsidRPr="00B26065" w:rsidRDefault="00DD772A" w:rsidP="00DD772A">
            <w:pPr>
              <w:pStyle w:val="TableText"/>
              <w:numPr>
                <w:ilvl w:val="0"/>
                <w:numId w:val="5"/>
              </w:numPr>
              <w:rPr>
                <w:bCs/>
              </w:rPr>
            </w:pPr>
            <w:r>
              <w:t xml:space="preserve">Advise the College of the change at </w:t>
            </w:r>
            <w:hyperlink r:id="rId9" w:history="1">
              <w:r w:rsidRPr="00DD7B12">
                <w:rPr>
                  <w:rStyle w:val="Hyperlink"/>
                  <w:color w:val="0000FF"/>
                  <w:u w:val="single"/>
                </w:rPr>
                <w:t>examinations@racp.edu.au</w:t>
              </w:r>
            </w:hyperlink>
            <w:r w:rsidRPr="00DD7B12">
              <w:rPr>
                <w:color w:val="0000FF"/>
                <w:u w:val="single"/>
              </w:rPr>
              <w:t>.</w:t>
            </w:r>
          </w:p>
        </w:tc>
        <w:tc>
          <w:tcPr>
            <w:tcW w:w="616" w:type="dxa"/>
            <w:shd w:val="clear" w:color="auto" w:fill="auto"/>
            <w:vAlign w:val="center"/>
          </w:tcPr>
          <w:p w14:paraId="39044137" w14:textId="77777777" w:rsidR="00DD772A" w:rsidRDefault="00DD772A" w:rsidP="00413383">
            <w:pPr>
              <w:pStyle w:val="TableText"/>
              <w:jc w:val="center"/>
            </w:pPr>
            <w:r>
              <w:fldChar w:fldCharType="begin">
                <w:ffData>
                  <w:name w:val="Check4"/>
                  <w:enabled w:val="0"/>
                  <w:calcOnExit w:val="0"/>
                  <w:checkBox>
                    <w:sizeAuto/>
                    <w:default w:val="0"/>
                  </w:checkBox>
                </w:ffData>
              </w:fldChar>
            </w:r>
            <w:r>
              <w:instrText xml:space="preserve"> FORMCHECKBOX </w:instrText>
            </w:r>
            <w:r>
              <w:fldChar w:fldCharType="separate"/>
            </w:r>
            <w:r>
              <w:fldChar w:fldCharType="end"/>
            </w:r>
          </w:p>
        </w:tc>
        <w:tc>
          <w:tcPr>
            <w:tcW w:w="3353" w:type="dxa"/>
            <w:shd w:val="clear" w:color="auto" w:fill="auto"/>
          </w:tcPr>
          <w:p w14:paraId="7346B21F" w14:textId="77777777" w:rsidR="00DD772A" w:rsidRPr="005B604F" w:rsidRDefault="00DD772A" w:rsidP="00413383">
            <w:pPr>
              <w:pStyle w:val="TableText"/>
              <w:rPr>
                <w:b/>
                <w:color w:val="FFFFFF" w:themeColor="background1"/>
              </w:rPr>
            </w:pPr>
          </w:p>
        </w:tc>
      </w:tr>
      <w:tr w:rsidR="00DD772A" w:rsidRPr="00B26065" w14:paraId="01D53516" w14:textId="77777777" w:rsidTr="00DD772A">
        <w:trPr>
          <w:cantSplit/>
          <w:jc w:val="center"/>
        </w:trPr>
        <w:tc>
          <w:tcPr>
            <w:tcW w:w="5665" w:type="dxa"/>
            <w:shd w:val="clear" w:color="auto" w:fill="DDD9C3"/>
          </w:tcPr>
          <w:p w14:paraId="0C9EABD9" w14:textId="77777777" w:rsidR="00DD772A" w:rsidRPr="00B26065" w:rsidRDefault="00DD772A" w:rsidP="00413383">
            <w:pPr>
              <w:pStyle w:val="TableText"/>
              <w:rPr>
                <w:b/>
                <w:sz w:val="24"/>
                <w:szCs w:val="24"/>
                <w:highlight w:val="yellow"/>
              </w:rPr>
            </w:pPr>
            <w:r w:rsidRPr="00B26065">
              <w:rPr>
                <w:b/>
                <w:sz w:val="24"/>
                <w:szCs w:val="24"/>
              </w:rPr>
              <w:t>During the morning and afternoon sessions:</w:t>
            </w:r>
          </w:p>
        </w:tc>
        <w:tc>
          <w:tcPr>
            <w:tcW w:w="616" w:type="dxa"/>
            <w:shd w:val="clear" w:color="auto" w:fill="DDD9C3"/>
            <w:vAlign w:val="center"/>
          </w:tcPr>
          <w:p w14:paraId="3E334C38" w14:textId="77777777" w:rsidR="00DD772A" w:rsidRPr="00B26065" w:rsidRDefault="00DD772A" w:rsidP="00413383">
            <w:pPr>
              <w:pStyle w:val="TableText"/>
              <w:jc w:val="center"/>
              <w:rPr>
                <w:b/>
              </w:rPr>
            </w:pPr>
          </w:p>
        </w:tc>
        <w:tc>
          <w:tcPr>
            <w:tcW w:w="3353" w:type="dxa"/>
            <w:shd w:val="clear" w:color="auto" w:fill="DDD9C3"/>
          </w:tcPr>
          <w:p w14:paraId="50FFD683" w14:textId="77777777" w:rsidR="00DD772A" w:rsidRPr="00B26065" w:rsidRDefault="00DD772A" w:rsidP="00413383">
            <w:pPr>
              <w:pStyle w:val="TableText"/>
              <w:rPr>
                <w:b/>
              </w:rPr>
            </w:pPr>
          </w:p>
        </w:tc>
      </w:tr>
      <w:tr w:rsidR="00DD772A" w:rsidRPr="00DE59FE" w14:paraId="21452066" w14:textId="77777777" w:rsidTr="00DD772A">
        <w:trPr>
          <w:cantSplit/>
          <w:jc w:val="center"/>
        </w:trPr>
        <w:tc>
          <w:tcPr>
            <w:tcW w:w="5665" w:type="dxa"/>
          </w:tcPr>
          <w:p w14:paraId="6B624A22" w14:textId="77777777" w:rsidR="00DD772A" w:rsidRPr="00153DB5" w:rsidRDefault="00DD772A" w:rsidP="00DD772A">
            <w:pPr>
              <w:pStyle w:val="TableText"/>
              <w:numPr>
                <w:ilvl w:val="0"/>
                <w:numId w:val="6"/>
              </w:numPr>
            </w:pPr>
            <w:hyperlink r:id="rId10" w:history="1">
              <w:r w:rsidRPr="00D64CEB">
                <w:rPr>
                  <w:rStyle w:val="Hyperlink"/>
                </w:rPr>
                <w:t>If</w:t>
              </w:r>
            </w:hyperlink>
            <w:r w:rsidRPr="00D64CEB">
              <w:t xml:space="preserve"> </w:t>
            </w:r>
            <w:r>
              <w:t>there are any major incidents that impact the exam, notify the College and Sitting Hospital as soon as possible.</w:t>
            </w:r>
          </w:p>
        </w:tc>
        <w:tc>
          <w:tcPr>
            <w:tcW w:w="616" w:type="dxa"/>
            <w:vAlign w:val="center"/>
          </w:tcPr>
          <w:p w14:paraId="34C2DC96" w14:textId="77777777" w:rsidR="00DD772A" w:rsidRDefault="00DD772A" w:rsidP="00413383">
            <w:pPr>
              <w:pStyle w:val="TableText"/>
              <w:jc w:val="center"/>
            </w:pPr>
            <w:r w:rsidRPr="00A35CE7">
              <w:fldChar w:fldCharType="begin">
                <w:ffData>
                  <w:name w:val="Check4"/>
                  <w:enabled w:val="0"/>
                  <w:calcOnExit w:val="0"/>
                  <w:checkBox>
                    <w:sizeAuto/>
                    <w:default w:val="0"/>
                  </w:checkBox>
                </w:ffData>
              </w:fldChar>
            </w:r>
            <w:r w:rsidRPr="00A35CE7">
              <w:instrText xml:space="preserve"> FORMCHECKBOX </w:instrText>
            </w:r>
            <w:r>
              <w:fldChar w:fldCharType="separate"/>
            </w:r>
            <w:r w:rsidRPr="00A35CE7">
              <w:fldChar w:fldCharType="end"/>
            </w:r>
          </w:p>
        </w:tc>
        <w:tc>
          <w:tcPr>
            <w:tcW w:w="3353" w:type="dxa"/>
          </w:tcPr>
          <w:p w14:paraId="329535FE" w14:textId="77777777" w:rsidR="00DD772A" w:rsidRPr="00DE59FE" w:rsidRDefault="00DD772A" w:rsidP="00413383">
            <w:pPr>
              <w:pStyle w:val="TableText"/>
              <w:rPr>
                <w:bCs/>
              </w:rPr>
            </w:pPr>
            <w:r w:rsidRPr="00DE59FE">
              <w:rPr>
                <w:bCs/>
              </w:rPr>
              <w:tab/>
            </w:r>
          </w:p>
        </w:tc>
      </w:tr>
      <w:tr w:rsidR="00DD772A" w:rsidRPr="00DE59FE" w14:paraId="14729E5A" w14:textId="77777777" w:rsidTr="00DD772A">
        <w:trPr>
          <w:cantSplit/>
          <w:trHeight w:val="536"/>
          <w:jc w:val="center"/>
        </w:trPr>
        <w:tc>
          <w:tcPr>
            <w:tcW w:w="5665" w:type="dxa"/>
          </w:tcPr>
          <w:p w14:paraId="73F8BBB3" w14:textId="77777777" w:rsidR="00DD772A" w:rsidRPr="00DD7B12" w:rsidRDefault="00DD772A" w:rsidP="00DD772A">
            <w:pPr>
              <w:pStyle w:val="TableText"/>
              <w:numPr>
                <w:ilvl w:val="0"/>
                <w:numId w:val="6"/>
              </w:numPr>
            </w:pPr>
            <w:r w:rsidRPr="00DD7B12">
              <w:t>Complete Incident Report and Procedural Issues Report (if necessary)</w:t>
            </w:r>
          </w:p>
        </w:tc>
        <w:tc>
          <w:tcPr>
            <w:tcW w:w="616" w:type="dxa"/>
            <w:vAlign w:val="center"/>
          </w:tcPr>
          <w:p w14:paraId="2845A948" w14:textId="77777777" w:rsidR="00DD772A" w:rsidRPr="00A35CE7" w:rsidRDefault="00DD772A" w:rsidP="00413383">
            <w:pPr>
              <w:pStyle w:val="TableText"/>
              <w:jc w:val="center"/>
            </w:pPr>
            <w:r w:rsidRPr="00A35CE7">
              <w:fldChar w:fldCharType="begin">
                <w:ffData>
                  <w:name w:val="Check4"/>
                  <w:enabled w:val="0"/>
                  <w:calcOnExit w:val="0"/>
                  <w:checkBox>
                    <w:sizeAuto/>
                    <w:default w:val="0"/>
                  </w:checkBox>
                </w:ffData>
              </w:fldChar>
            </w:r>
            <w:r w:rsidRPr="00A35CE7">
              <w:instrText xml:space="preserve"> FORMCHECKBOX </w:instrText>
            </w:r>
            <w:r>
              <w:fldChar w:fldCharType="separate"/>
            </w:r>
            <w:r w:rsidRPr="00A35CE7">
              <w:fldChar w:fldCharType="end"/>
            </w:r>
          </w:p>
        </w:tc>
        <w:tc>
          <w:tcPr>
            <w:tcW w:w="3353" w:type="dxa"/>
          </w:tcPr>
          <w:p w14:paraId="137BEE53" w14:textId="77777777" w:rsidR="00DD772A" w:rsidRPr="00DE59FE" w:rsidRDefault="00DD772A" w:rsidP="00413383">
            <w:pPr>
              <w:pStyle w:val="TableText"/>
              <w:rPr>
                <w:bCs/>
              </w:rPr>
            </w:pPr>
            <w:r>
              <w:rPr>
                <w:bCs/>
              </w:rPr>
              <w:t>Template</w:t>
            </w:r>
            <w:r w:rsidRPr="00667198">
              <w:rPr>
                <w:bCs/>
              </w:rPr>
              <w:t xml:space="preserve"> on Alfresco</w:t>
            </w:r>
          </w:p>
        </w:tc>
      </w:tr>
      <w:tr w:rsidR="00DD772A" w:rsidRPr="00DE59FE" w14:paraId="2BE88263" w14:textId="77777777" w:rsidTr="00DD772A">
        <w:trPr>
          <w:cantSplit/>
          <w:trHeight w:val="361"/>
          <w:jc w:val="center"/>
        </w:trPr>
        <w:tc>
          <w:tcPr>
            <w:tcW w:w="5665" w:type="dxa"/>
          </w:tcPr>
          <w:p w14:paraId="0C319F04" w14:textId="77777777" w:rsidR="00DD772A" w:rsidRPr="00DD7B12" w:rsidRDefault="00DD772A" w:rsidP="00DD772A">
            <w:pPr>
              <w:pStyle w:val="TableText"/>
              <w:numPr>
                <w:ilvl w:val="0"/>
                <w:numId w:val="6"/>
              </w:numPr>
            </w:pPr>
            <w:r w:rsidRPr="00DD7B12">
              <w:t>Provide support as required to participants</w:t>
            </w:r>
          </w:p>
        </w:tc>
        <w:tc>
          <w:tcPr>
            <w:tcW w:w="616" w:type="dxa"/>
            <w:vAlign w:val="center"/>
          </w:tcPr>
          <w:p w14:paraId="66AE1865" w14:textId="77777777" w:rsidR="00DD772A" w:rsidRPr="00A35CE7" w:rsidRDefault="00DD772A" w:rsidP="00413383">
            <w:pPr>
              <w:pStyle w:val="TableText"/>
              <w:jc w:val="center"/>
            </w:pPr>
            <w:r w:rsidRPr="00A35CE7">
              <w:fldChar w:fldCharType="begin">
                <w:ffData>
                  <w:name w:val="Check4"/>
                  <w:enabled w:val="0"/>
                  <w:calcOnExit w:val="0"/>
                  <w:checkBox>
                    <w:sizeAuto/>
                    <w:default w:val="0"/>
                  </w:checkBox>
                </w:ffData>
              </w:fldChar>
            </w:r>
            <w:r w:rsidRPr="00A35CE7">
              <w:instrText xml:space="preserve"> FORMCHECKBOX </w:instrText>
            </w:r>
            <w:r>
              <w:fldChar w:fldCharType="separate"/>
            </w:r>
            <w:r w:rsidRPr="00A35CE7">
              <w:fldChar w:fldCharType="end"/>
            </w:r>
          </w:p>
        </w:tc>
        <w:tc>
          <w:tcPr>
            <w:tcW w:w="3353" w:type="dxa"/>
          </w:tcPr>
          <w:p w14:paraId="3FEAC085" w14:textId="77777777" w:rsidR="00DD772A" w:rsidRPr="00DE59FE" w:rsidRDefault="00DD772A" w:rsidP="00413383">
            <w:pPr>
              <w:pStyle w:val="TableText"/>
              <w:rPr>
                <w:bCs/>
              </w:rPr>
            </w:pPr>
          </w:p>
        </w:tc>
      </w:tr>
      <w:tr w:rsidR="00DD772A" w:rsidRPr="00DE59FE" w14:paraId="01F85046" w14:textId="77777777" w:rsidTr="00DD772A">
        <w:trPr>
          <w:cantSplit/>
          <w:trHeight w:val="1482"/>
          <w:jc w:val="center"/>
        </w:trPr>
        <w:tc>
          <w:tcPr>
            <w:tcW w:w="5665" w:type="dxa"/>
          </w:tcPr>
          <w:p w14:paraId="11DEE22A" w14:textId="77777777" w:rsidR="00DD772A" w:rsidRDefault="00DD772A" w:rsidP="00DD772A">
            <w:pPr>
              <w:pStyle w:val="TableText"/>
              <w:numPr>
                <w:ilvl w:val="0"/>
                <w:numId w:val="6"/>
              </w:numPr>
            </w:pPr>
            <w:r>
              <w:t>If a patient is deemed unsuitable or cannot continue:</w:t>
            </w:r>
          </w:p>
          <w:p w14:paraId="2E9722B3" w14:textId="77777777" w:rsidR="00DD772A" w:rsidRDefault="00DD772A" w:rsidP="00DD772A">
            <w:pPr>
              <w:pStyle w:val="TableText"/>
              <w:numPr>
                <w:ilvl w:val="0"/>
                <w:numId w:val="3"/>
              </w:numPr>
            </w:pPr>
            <w:r>
              <w:t xml:space="preserve">Contact the reserve patient and provide them with the phone number, guest passcode and timings for their </w:t>
            </w:r>
            <w:proofErr w:type="gramStart"/>
            <w:r>
              <w:t>interviews</w:t>
            </w:r>
            <w:proofErr w:type="gramEnd"/>
          </w:p>
          <w:p w14:paraId="771B04C4" w14:textId="77777777" w:rsidR="00DD772A" w:rsidRDefault="00DD772A" w:rsidP="00DD772A">
            <w:pPr>
              <w:pStyle w:val="TableText"/>
              <w:numPr>
                <w:ilvl w:val="0"/>
                <w:numId w:val="3"/>
              </w:numPr>
            </w:pPr>
            <w:r>
              <w:t xml:space="preserve">Phone the Sitting Hospital and NEP to advise of the </w:t>
            </w:r>
            <w:proofErr w:type="gramStart"/>
            <w:r>
              <w:t>change</w:t>
            </w:r>
            <w:proofErr w:type="gramEnd"/>
            <w:r>
              <w:t xml:space="preserve"> </w:t>
            </w:r>
          </w:p>
          <w:p w14:paraId="6292C7F1" w14:textId="77777777" w:rsidR="00DD772A" w:rsidRDefault="00DD772A" w:rsidP="00DD772A">
            <w:pPr>
              <w:pStyle w:val="TableText"/>
              <w:numPr>
                <w:ilvl w:val="0"/>
                <w:numId w:val="3"/>
              </w:numPr>
            </w:pPr>
            <w:r>
              <w:t xml:space="preserve">Add the relevant host passcodes to the new patient’s </w:t>
            </w:r>
            <w:proofErr w:type="gramStart"/>
            <w:r>
              <w:t>PEFF</w:t>
            </w:r>
            <w:proofErr w:type="gramEnd"/>
          </w:p>
          <w:p w14:paraId="340D4264" w14:textId="77777777" w:rsidR="00DD772A" w:rsidRDefault="00DD772A" w:rsidP="00DD772A">
            <w:pPr>
              <w:pStyle w:val="TableText"/>
              <w:numPr>
                <w:ilvl w:val="0"/>
                <w:numId w:val="3"/>
              </w:numPr>
            </w:pPr>
            <w:r>
              <w:t>Email the new PEFF to the Sitting Hospital (if not done previously)</w:t>
            </w:r>
          </w:p>
          <w:p w14:paraId="7BB8C7FF" w14:textId="77777777" w:rsidR="00DD772A" w:rsidRDefault="00DD772A" w:rsidP="00DD772A">
            <w:pPr>
              <w:pStyle w:val="TableText"/>
              <w:numPr>
                <w:ilvl w:val="0"/>
                <w:numId w:val="3"/>
              </w:numPr>
            </w:pPr>
            <w:r>
              <w:t>Email the new PEFF and Investigation Reports to the NEP (and Local Examiner if off-site)</w:t>
            </w:r>
          </w:p>
          <w:p w14:paraId="7ADD8163" w14:textId="77777777" w:rsidR="00DD772A" w:rsidRDefault="00DD772A" w:rsidP="00DD772A">
            <w:pPr>
              <w:pStyle w:val="TableText"/>
              <w:numPr>
                <w:ilvl w:val="0"/>
                <w:numId w:val="3"/>
              </w:numPr>
            </w:pPr>
            <w:r>
              <w:t>Print the new PEFF and Investigation Reports for the Local Examiner</w:t>
            </w:r>
          </w:p>
          <w:p w14:paraId="1EB9A7A1" w14:textId="77777777" w:rsidR="00DD772A" w:rsidRPr="00684A2A" w:rsidRDefault="00DD772A" w:rsidP="00DD772A">
            <w:pPr>
              <w:pStyle w:val="TableText"/>
              <w:numPr>
                <w:ilvl w:val="0"/>
                <w:numId w:val="3"/>
              </w:numPr>
            </w:pPr>
            <w:r>
              <w:t xml:space="preserve">Advise the College of the change at </w:t>
            </w:r>
            <w:hyperlink r:id="rId11" w:history="1">
              <w:r w:rsidRPr="00482B1A">
                <w:rPr>
                  <w:rStyle w:val="Hyperlink"/>
                </w:rPr>
                <w:t>examinations@racp.edu.au</w:t>
              </w:r>
            </w:hyperlink>
            <w:r>
              <w:t xml:space="preserve"> </w:t>
            </w:r>
          </w:p>
        </w:tc>
        <w:tc>
          <w:tcPr>
            <w:tcW w:w="616" w:type="dxa"/>
            <w:vAlign w:val="center"/>
          </w:tcPr>
          <w:p w14:paraId="53609E48" w14:textId="77777777" w:rsidR="00DD772A" w:rsidRDefault="00DD772A" w:rsidP="00413383">
            <w:pPr>
              <w:pStyle w:val="TableText"/>
              <w:jc w:val="center"/>
            </w:pPr>
            <w:r w:rsidRPr="00A35CE7">
              <w:fldChar w:fldCharType="begin">
                <w:ffData>
                  <w:name w:val="Check4"/>
                  <w:enabled w:val="0"/>
                  <w:calcOnExit w:val="0"/>
                  <w:checkBox>
                    <w:sizeAuto/>
                    <w:default w:val="0"/>
                  </w:checkBox>
                </w:ffData>
              </w:fldChar>
            </w:r>
            <w:r w:rsidRPr="00A35CE7">
              <w:instrText xml:space="preserve"> FORMCHECKBOX </w:instrText>
            </w:r>
            <w:r>
              <w:fldChar w:fldCharType="separate"/>
            </w:r>
            <w:r w:rsidRPr="00A35CE7">
              <w:fldChar w:fldCharType="end"/>
            </w:r>
          </w:p>
        </w:tc>
        <w:tc>
          <w:tcPr>
            <w:tcW w:w="3353" w:type="dxa"/>
          </w:tcPr>
          <w:p w14:paraId="3CA52558" w14:textId="77777777" w:rsidR="00DD772A" w:rsidRPr="00DE59FE" w:rsidRDefault="00DD772A" w:rsidP="00413383">
            <w:pPr>
              <w:pStyle w:val="TableText"/>
              <w:rPr>
                <w:bCs/>
              </w:rPr>
            </w:pPr>
          </w:p>
          <w:p w14:paraId="26967E1B" w14:textId="77777777" w:rsidR="00DD772A" w:rsidRPr="00DE59FE" w:rsidRDefault="00DD772A" w:rsidP="00413383">
            <w:pPr>
              <w:rPr>
                <w:bCs/>
                <w:sz w:val="18"/>
              </w:rPr>
            </w:pPr>
          </w:p>
          <w:p w14:paraId="7670A32D" w14:textId="77777777" w:rsidR="00DD772A" w:rsidRPr="00DE59FE" w:rsidRDefault="00DD772A" w:rsidP="00413383">
            <w:pPr>
              <w:rPr>
                <w:bCs/>
                <w:sz w:val="18"/>
              </w:rPr>
            </w:pPr>
          </w:p>
          <w:p w14:paraId="5A30FF97" w14:textId="77777777" w:rsidR="00DD772A" w:rsidRPr="00DE59FE" w:rsidRDefault="00DD772A" w:rsidP="00413383">
            <w:pPr>
              <w:rPr>
                <w:bCs/>
                <w:sz w:val="18"/>
              </w:rPr>
            </w:pPr>
          </w:p>
          <w:p w14:paraId="24CA22A4" w14:textId="77777777" w:rsidR="00DD772A" w:rsidRPr="00DE59FE" w:rsidRDefault="00DD772A" w:rsidP="00413383">
            <w:pPr>
              <w:rPr>
                <w:bCs/>
                <w:sz w:val="18"/>
              </w:rPr>
            </w:pPr>
          </w:p>
          <w:p w14:paraId="799FBECC" w14:textId="77777777" w:rsidR="00DD772A" w:rsidRPr="00DE59FE" w:rsidRDefault="00DD772A" w:rsidP="00413383">
            <w:pPr>
              <w:rPr>
                <w:bCs/>
                <w:sz w:val="18"/>
              </w:rPr>
            </w:pPr>
          </w:p>
          <w:p w14:paraId="0067946B" w14:textId="77777777" w:rsidR="00DD772A" w:rsidRPr="00DE59FE" w:rsidRDefault="00DD772A" w:rsidP="00413383">
            <w:pPr>
              <w:rPr>
                <w:bCs/>
                <w:sz w:val="18"/>
              </w:rPr>
            </w:pPr>
          </w:p>
          <w:p w14:paraId="20B58D89" w14:textId="77777777" w:rsidR="00DD772A" w:rsidRPr="00DE59FE" w:rsidRDefault="00DD772A" w:rsidP="00413383">
            <w:pPr>
              <w:rPr>
                <w:bCs/>
                <w:sz w:val="18"/>
              </w:rPr>
            </w:pPr>
          </w:p>
          <w:p w14:paraId="7003913E" w14:textId="77777777" w:rsidR="00DD772A" w:rsidRPr="00DE59FE" w:rsidRDefault="00DD772A" w:rsidP="00413383">
            <w:pPr>
              <w:rPr>
                <w:bCs/>
                <w:sz w:val="18"/>
              </w:rPr>
            </w:pPr>
          </w:p>
          <w:p w14:paraId="53E7E2E5" w14:textId="77777777" w:rsidR="00DD772A" w:rsidRPr="00DE59FE" w:rsidRDefault="00DD772A" w:rsidP="00413383">
            <w:pPr>
              <w:rPr>
                <w:bCs/>
                <w:sz w:val="18"/>
              </w:rPr>
            </w:pPr>
          </w:p>
        </w:tc>
      </w:tr>
      <w:tr w:rsidR="00DD772A" w14:paraId="6A7B8BF3" w14:textId="77777777" w:rsidTr="00DD772A">
        <w:trPr>
          <w:cantSplit/>
          <w:jc w:val="center"/>
        </w:trPr>
        <w:tc>
          <w:tcPr>
            <w:tcW w:w="5665" w:type="dxa"/>
            <w:shd w:val="clear" w:color="auto" w:fill="auto"/>
          </w:tcPr>
          <w:p w14:paraId="2E2C422E" w14:textId="77777777" w:rsidR="00DD772A" w:rsidRPr="000D094B" w:rsidRDefault="00DD772A" w:rsidP="00DD772A">
            <w:pPr>
              <w:pStyle w:val="TableText"/>
              <w:numPr>
                <w:ilvl w:val="0"/>
                <w:numId w:val="6"/>
              </w:numPr>
              <w:rPr>
                <w:rFonts w:eastAsiaTheme="majorEastAsia" w:cstheme="majorBidi"/>
                <w:b/>
                <w:bCs/>
                <w:color w:val="000000" w:themeColor="text1"/>
              </w:rPr>
            </w:pPr>
            <w:r w:rsidRPr="000D094B">
              <w:t xml:space="preserve">Check that the consensus scores and individual scores have been recorded in the Backup Scoring Booklet and that if any issues have been experienced with the DSS that copies of the relevant pages have been emailed to </w:t>
            </w:r>
            <w:hyperlink r:id="rId12" w:history="1">
              <w:r w:rsidRPr="007F002E">
                <w:rPr>
                  <w:rStyle w:val="Hyperlink"/>
                </w:rPr>
                <w:t>DCE@racp.edu.au</w:t>
              </w:r>
            </w:hyperlink>
            <w:r>
              <w:t xml:space="preserve"> </w:t>
            </w:r>
          </w:p>
        </w:tc>
        <w:tc>
          <w:tcPr>
            <w:tcW w:w="616" w:type="dxa"/>
            <w:vAlign w:val="center"/>
          </w:tcPr>
          <w:p w14:paraId="72F3B3C1" w14:textId="77777777" w:rsidR="00DD772A" w:rsidRPr="000D094B" w:rsidRDefault="00DD772A" w:rsidP="00413383">
            <w:pPr>
              <w:pStyle w:val="TableText"/>
              <w:jc w:val="center"/>
            </w:pPr>
            <w:r w:rsidRPr="000D094B">
              <w:fldChar w:fldCharType="begin">
                <w:ffData>
                  <w:name w:val="Check4"/>
                  <w:enabled w:val="0"/>
                  <w:calcOnExit w:val="0"/>
                  <w:checkBox>
                    <w:sizeAuto/>
                    <w:default w:val="0"/>
                  </w:checkBox>
                </w:ffData>
              </w:fldChar>
            </w:r>
            <w:r w:rsidRPr="000D094B">
              <w:instrText xml:space="preserve"> FORMCHECKBOX </w:instrText>
            </w:r>
            <w:r>
              <w:fldChar w:fldCharType="separate"/>
            </w:r>
            <w:r w:rsidRPr="000D094B">
              <w:fldChar w:fldCharType="end"/>
            </w:r>
          </w:p>
        </w:tc>
        <w:tc>
          <w:tcPr>
            <w:tcW w:w="3353" w:type="dxa"/>
          </w:tcPr>
          <w:p w14:paraId="0A43EA2E" w14:textId="77777777" w:rsidR="00DD772A" w:rsidRDefault="00DD772A" w:rsidP="00413383">
            <w:pPr>
              <w:pStyle w:val="TableText"/>
            </w:pPr>
          </w:p>
        </w:tc>
      </w:tr>
      <w:tr w:rsidR="00DD772A" w:rsidRPr="004D6B66" w14:paraId="3CE6A7C7" w14:textId="77777777" w:rsidTr="00DD772A">
        <w:trPr>
          <w:cantSplit/>
          <w:jc w:val="center"/>
        </w:trPr>
        <w:tc>
          <w:tcPr>
            <w:tcW w:w="5665" w:type="dxa"/>
            <w:shd w:val="clear" w:color="auto" w:fill="DDD9C3"/>
          </w:tcPr>
          <w:p w14:paraId="20B4CDAF" w14:textId="77777777" w:rsidR="00DD772A" w:rsidRPr="004D6B66" w:rsidRDefault="00DD772A" w:rsidP="00413383">
            <w:pPr>
              <w:pStyle w:val="TableText"/>
              <w:rPr>
                <w:b/>
                <w:sz w:val="24"/>
                <w:szCs w:val="24"/>
              </w:rPr>
            </w:pPr>
            <w:r w:rsidRPr="004D6B66">
              <w:rPr>
                <w:b/>
                <w:sz w:val="24"/>
                <w:szCs w:val="24"/>
              </w:rPr>
              <w:t>End of sessions (AM &amp; PM)</w:t>
            </w:r>
          </w:p>
        </w:tc>
        <w:tc>
          <w:tcPr>
            <w:tcW w:w="616" w:type="dxa"/>
            <w:shd w:val="clear" w:color="auto" w:fill="DDD9C3"/>
            <w:vAlign w:val="center"/>
          </w:tcPr>
          <w:p w14:paraId="53437556" w14:textId="77777777" w:rsidR="00DD772A" w:rsidRPr="004D6B66" w:rsidRDefault="00DD772A" w:rsidP="00413383">
            <w:pPr>
              <w:pStyle w:val="TableText"/>
              <w:rPr>
                <w:b/>
                <w:sz w:val="24"/>
                <w:szCs w:val="24"/>
              </w:rPr>
            </w:pPr>
          </w:p>
        </w:tc>
        <w:tc>
          <w:tcPr>
            <w:tcW w:w="3353" w:type="dxa"/>
            <w:shd w:val="clear" w:color="auto" w:fill="DDD9C3"/>
          </w:tcPr>
          <w:p w14:paraId="5DF93803" w14:textId="77777777" w:rsidR="00DD772A" w:rsidRPr="004D6B66" w:rsidRDefault="00DD772A" w:rsidP="00413383">
            <w:pPr>
              <w:pStyle w:val="TableText"/>
              <w:rPr>
                <w:b/>
                <w:sz w:val="24"/>
                <w:szCs w:val="24"/>
              </w:rPr>
            </w:pPr>
          </w:p>
        </w:tc>
      </w:tr>
      <w:tr w:rsidR="00DD772A" w14:paraId="059F8EE6" w14:textId="77777777" w:rsidTr="00DD772A">
        <w:trPr>
          <w:cantSplit/>
          <w:jc w:val="center"/>
        </w:trPr>
        <w:tc>
          <w:tcPr>
            <w:tcW w:w="5665" w:type="dxa"/>
          </w:tcPr>
          <w:p w14:paraId="77BF4B37" w14:textId="77777777" w:rsidR="00DD772A" w:rsidRDefault="00DD772A" w:rsidP="00DD772A">
            <w:pPr>
              <w:pStyle w:val="TableText"/>
              <w:numPr>
                <w:ilvl w:val="0"/>
                <w:numId w:val="6"/>
              </w:numPr>
            </w:pPr>
            <w:r>
              <w:t>Collect all PEFFs, Investigation Reports and Patient Summaries and dispose of securely.</w:t>
            </w:r>
          </w:p>
        </w:tc>
        <w:tc>
          <w:tcPr>
            <w:tcW w:w="616" w:type="dxa"/>
            <w:vAlign w:val="center"/>
          </w:tcPr>
          <w:p w14:paraId="00B57997" w14:textId="77777777" w:rsidR="00DD772A" w:rsidRPr="00A35CE7" w:rsidRDefault="00DD772A" w:rsidP="00413383">
            <w:pPr>
              <w:pStyle w:val="TableText"/>
              <w:jc w:val="center"/>
            </w:pPr>
            <w:r w:rsidRPr="00A35CE7">
              <w:fldChar w:fldCharType="begin">
                <w:ffData>
                  <w:name w:val="Check4"/>
                  <w:enabled w:val="0"/>
                  <w:calcOnExit w:val="0"/>
                  <w:checkBox>
                    <w:sizeAuto/>
                    <w:default w:val="0"/>
                  </w:checkBox>
                </w:ffData>
              </w:fldChar>
            </w:r>
            <w:r w:rsidRPr="00A35CE7">
              <w:instrText xml:space="preserve"> FORMCHECKBOX </w:instrText>
            </w:r>
            <w:r>
              <w:fldChar w:fldCharType="separate"/>
            </w:r>
            <w:r w:rsidRPr="00A35CE7">
              <w:fldChar w:fldCharType="end"/>
            </w:r>
          </w:p>
        </w:tc>
        <w:tc>
          <w:tcPr>
            <w:tcW w:w="3353" w:type="dxa"/>
          </w:tcPr>
          <w:p w14:paraId="4D064C07" w14:textId="77777777" w:rsidR="00DD772A" w:rsidRDefault="00DD772A" w:rsidP="00413383">
            <w:pPr>
              <w:pStyle w:val="TableText"/>
            </w:pPr>
          </w:p>
        </w:tc>
      </w:tr>
      <w:tr w:rsidR="00DD772A" w14:paraId="5DCB9C5A" w14:textId="77777777" w:rsidTr="00DD772A">
        <w:trPr>
          <w:cantSplit/>
          <w:jc w:val="center"/>
        </w:trPr>
        <w:tc>
          <w:tcPr>
            <w:tcW w:w="5665" w:type="dxa"/>
          </w:tcPr>
          <w:p w14:paraId="5539D124" w14:textId="77777777" w:rsidR="00DD772A" w:rsidRDefault="00DD772A" w:rsidP="00DD772A">
            <w:pPr>
              <w:pStyle w:val="TableText"/>
              <w:numPr>
                <w:ilvl w:val="0"/>
                <w:numId w:val="6"/>
              </w:numPr>
            </w:pPr>
            <w:r>
              <w:lastRenderedPageBreak/>
              <w:t>Contact all NEPs and off-site Local Examiners to ensure they have deleted all PEFFs, Investigation Reports and Patient Summaries from their computer, including emails. Any paper copies should be destroyed.</w:t>
            </w:r>
          </w:p>
        </w:tc>
        <w:tc>
          <w:tcPr>
            <w:tcW w:w="616" w:type="dxa"/>
            <w:vAlign w:val="center"/>
          </w:tcPr>
          <w:p w14:paraId="261925C6" w14:textId="77777777" w:rsidR="00DD772A" w:rsidRPr="00A35CE7" w:rsidRDefault="00DD772A" w:rsidP="00413383">
            <w:pPr>
              <w:pStyle w:val="TableText"/>
              <w:jc w:val="center"/>
            </w:pPr>
            <w:r w:rsidRPr="00A35CE7">
              <w:fldChar w:fldCharType="begin">
                <w:ffData>
                  <w:name w:val="Check4"/>
                  <w:enabled w:val="0"/>
                  <w:calcOnExit w:val="0"/>
                  <w:checkBox>
                    <w:sizeAuto/>
                    <w:default w:val="0"/>
                  </w:checkBox>
                </w:ffData>
              </w:fldChar>
            </w:r>
            <w:r w:rsidRPr="00A35CE7">
              <w:instrText xml:space="preserve"> FORMCHECKBOX </w:instrText>
            </w:r>
            <w:r>
              <w:fldChar w:fldCharType="separate"/>
            </w:r>
            <w:r w:rsidRPr="00A35CE7">
              <w:fldChar w:fldCharType="end"/>
            </w:r>
          </w:p>
        </w:tc>
        <w:tc>
          <w:tcPr>
            <w:tcW w:w="3353" w:type="dxa"/>
          </w:tcPr>
          <w:p w14:paraId="2DCAF2A6" w14:textId="77777777" w:rsidR="00DD772A" w:rsidRDefault="00DD772A" w:rsidP="00413383">
            <w:pPr>
              <w:pStyle w:val="TableText"/>
            </w:pPr>
          </w:p>
        </w:tc>
      </w:tr>
      <w:tr w:rsidR="00DD772A" w14:paraId="0CE1EFAC" w14:textId="77777777" w:rsidTr="00DD772A">
        <w:trPr>
          <w:cantSplit/>
          <w:jc w:val="center"/>
        </w:trPr>
        <w:tc>
          <w:tcPr>
            <w:tcW w:w="5665" w:type="dxa"/>
          </w:tcPr>
          <w:p w14:paraId="6739FE90" w14:textId="77777777" w:rsidR="00DD772A" w:rsidRPr="00EC2D5C" w:rsidRDefault="00DD772A" w:rsidP="00DD772A">
            <w:pPr>
              <w:pStyle w:val="TableText"/>
              <w:numPr>
                <w:ilvl w:val="0"/>
                <w:numId w:val="6"/>
              </w:numPr>
              <w:rPr>
                <w:rFonts w:eastAsiaTheme="majorEastAsia" w:cstheme="majorBidi"/>
                <w:b/>
                <w:bCs/>
                <w:color w:val="000000" w:themeColor="text1"/>
              </w:rPr>
            </w:pPr>
            <w:r>
              <w:t xml:space="preserve">Scan </w:t>
            </w:r>
            <w:r w:rsidRPr="003526AE">
              <w:t xml:space="preserve">the following forms and email to </w:t>
            </w:r>
            <w:hyperlink r:id="rId13" w:history="1">
              <w:r w:rsidRPr="00381D47">
                <w:rPr>
                  <w:rStyle w:val="Hyperlink"/>
                  <w:color w:val="0000FF"/>
                  <w:u w:val="single"/>
                </w:rPr>
                <w:t>examinations@racp.edu.au</w:t>
              </w:r>
            </w:hyperlink>
            <w:r w:rsidRPr="003526AE">
              <w:t>:</w:t>
            </w:r>
          </w:p>
          <w:p w14:paraId="36E7BA4C" w14:textId="77777777" w:rsidR="00DD772A" w:rsidRDefault="00DD772A" w:rsidP="00DD772A">
            <w:pPr>
              <w:pStyle w:val="TableText"/>
              <w:numPr>
                <w:ilvl w:val="1"/>
                <w:numId w:val="6"/>
              </w:numPr>
              <w:rPr>
                <w:rFonts w:eastAsiaTheme="majorEastAsia" w:cstheme="majorBidi"/>
                <w:b/>
                <w:bCs/>
                <w:color w:val="000000" w:themeColor="text1"/>
              </w:rPr>
            </w:pPr>
            <w:r w:rsidRPr="00042A16">
              <w:t>Incident and Procedural Issues Report</w:t>
            </w:r>
            <w:r>
              <w:t>,</w:t>
            </w:r>
            <w:r w:rsidRPr="00042A16">
              <w:t xml:space="preserve"> </w:t>
            </w:r>
            <w:r>
              <w:t>as required</w:t>
            </w:r>
          </w:p>
          <w:p w14:paraId="72E2C33B" w14:textId="77777777" w:rsidR="00DD772A" w:rsidRPr="00153DB5" w:rsidRDefault="00DD772A" w:rsidP="00DD772A">
            <w:pPr>
              <w:pStyle w:val="TableText"/>
              <w:numPr>
                <w:ilvl w:val="1"/>
                <w:numId w:val="6"/>
              </w:numPr>
              <w:rPr>
                <w:rFonts w:eastAsiaTheme="majorEastAsia" w:cstheme="majorBidi"/>
                <w:bCs/>
                <w:color w:val="000000" w:themeColor="text1"/>
              </w:rPr>
            </w:pPr>
            <w:r w:rsidRPr="00153DB5">
              <w:rPr>
                <w:bCs/>
              </w:rPr>
              <w:t>this checklist, when complete</w:t>
            </w:r>
          </w:p>
        </w:tc>
        <w:tc>
          <w:tcPr>
            <w:tcW w:w="616" w:type="dxa"/>
            <w:vAlign w:val="center"/>
          </w:tcPr>
          <w:p w14:paraId="0068B589" w14:textId="77777777" w:rsidR="00DD772A" w:rsidRPr="00A35CE7" w:rsidRDefault="00DD772A" w:rsidP="00413383">
            <w:pPr>
              <w:pStyle w:val="TableText"/>
              <w:jc w:val="center"/>
            </w:pPr>
            <w:r w:rsidRPr="00A35CE7">
              <w:fldChar w:fldCharType="begin">
                <w:ffData>
                  <w:name w:val="Check4"/>
                  <w:enabled w:val="0"/>
                  <w:calcOnExit w:val="0"/>
                  <w:checkBox>
                    <w:sizeAuto/>
                    <w:default w:val="0"/>
                  </w:checkBox>
                </w:ffData>
              </w:fldChar>
            </w:r>
            <w:r w:rsidRPr="00A35CE7">
              <w:instrText xml:space="preserve"> FORMCHECKBOX </w:instrText>
            </w:r>
            <w:r>
              <w:fldChar w:fldCharType="separate"/>
            </w:r>
            <w:r w:rsidRPr="00A35CE7">
              <w:fldChar w:fldCharType="end"/>
            </w:r>
          </w:p>
        </w:tc>
        <w:tc>
          <w:tcPr>
            <w:tcW w:w="3353" w:type="dxa"/>
          </w:tcPr>
          <w:p w14:paraId="4C08E910" w14:textId="77777777" w:rsidR="00DD772A" w:rsidRDefault="00DD772A" w:rsidP="00413383">
            <w:pPr>
              <w:pStyle w:val="TableText"/>
            </w:pPr>
          </w:p>
        </w:tc>
      </w:tr>
      <w:tr w:rsidR="00DD772A" w14:paraId="5FB6FE36" w14:textId="77777777" w:rsidTr="00DD772A">
        <w:trPr>
          <w:cantSplit/>
          <w:jc w:val="center"/>
        </w:trPr>
        <w:tc>
          <w:tcPr>
            <w:tcW w:w="5665" w:type="dxa"/>
          </w:tcPr>
          <w:p w14:paraId="52B447B7" w14:textId="77777777" w:rsidR="00DD772A" w:rsidRDefault="00DD772A" w:rsidP="00DD772A">
            <w:pPr>
              <w:pStyle w:val="TableText"/>
              <w:numPr>
                <w:ilvl w:val="0"/>
                <w:numId w:val="6"/>
              </w:numPr>
            </w:pPr>
            <w:r>
              <w:t xml:space="preserve">Confirm with Local Examiners that all DSS have been submitted successfully OR that the relevant pages of the back-up scoring booklet has been completed, </w:t>
            </w:r>
            <w:proofErr w:type="gramStart"/>
            <w:r>
              <w:t>scanned</w:t>
            </w:r>
            <w:proofErr w:type="gramEnd"/>
            <w:r>
              <w:t xml:space="preserve"> or photographed, and emailed to </w:t>
            </w:r>
            <w:hyperlink r:id="rId14" w:history="1">
              <w:r w:rsidRPr="00381D47">
                <w:rPr>
                  <w:rStyle w:val="Hyperlink"/>
                  <w:color w:val="0000FF"/>
                  <w:u w:val="single"/>
                </w:rPr>
                <w:t>DCE@racp.edu.au</w:t>
              </w:r>
            </w:hyperlink>
            <w:r>
              <w:t>.</w:t>
            </w:r>
          </w:p>
        </w:tc>
        <w:tc>
          <w:tcPr>
            <w:tcW w:w="616" w:type="dxa"/>
            <w:vAlign w:val="center"/>
          </w:tcPr>
          <w:p w14:paraId="69301417" w14:textId="77777777" w:rsidR="00DD772A" w:rsidRPr="00A35CE7" w:rsidRDefault="00DD772A" w:rsidP="00413383">
            <w:pPr>
              <w:pStyle w:val="TableText"/>
              <w:jc w:val="center"/>
            </w:pPr>
            <w:r w:rsidRPr="00A35CE7">
              <w:fldChar w:fldCharType="begin">
                <w:ffData>
                  <w:name w:val="Check4"/>
                  <w:enabled w:val="0"/>
                  <w:calcOnExit w:val="0"/>
                  <w:checkBox>
                    <w:sizeAuto/>
                    <w:default w:val="0"/>
                  </w:checkBox>
                </w:ffData>
              </w:fldChar>
            </w:r>
            <w:r w:rsidRPr="00A35CE7">
              <w:instrText xml:space="preserve"> FORMCHECKBOX </w:instrText>
            </w:r>
            <w:r>
              <w:fldChar w:fldCharType="separate"/>
            </w:r>
            <w:r w:rsidRPr="00A35CE7">
              <w:fldChar w:fldCharType="end"/>
            </w:r>
          </w:p>
        </w:tc>
        <w:tc>
          <w:tcPr>
            <w:tcW w:w="3353" w:type="dxa"/>
          </w:tcPr>
          <w:p w14:paraId="747FA3AC" w14:textId="77777777" w:rsidR="00DD772A" w:rsidRDefault="00DD772A" w:rsidP="00413383">
            <w:pPr>
              <w:pStyle w:val="TableText"/>
            </w:pPr>
          </w:p>
        </w:tc>
      </w:tr>
      <w:tr w:rsidR="00DD772A" w14:paraId="27C9BF60" w14:textId="77777777" w:rsidTr="00DD772A">
        <w:trPr>
          <w:cantSplit/>
          <w:jc w:val="center"/>
        </w:trPr>
        <w:tc>
          <w:tcPr>
            <w:tcW w:w="5665" w:type="dxa"/>
          </w:tcPr>
          <w:p w14:paraId="0A4339DC" w14:textId="77777777" w:rsidR="00DD772A" w:rsidRDefault="00DD772A" w:rsidP="00DD772A">
            <w:pPr>
              <w:pStyle w:val="TableText"/>
              <w:numPr>
                <w:ilvl w:val="0"/>
                <w:numId w:val="6"/>
              </w:numPr>
            </w:pPr>
            <w:r>
              <w:t xml:space="preserve">Submit an expense claim to </w:t>
            </w:r>
            <w:hyperlink r:id="rId15" w:history="1">
              <w:r w:rsidRPr="00381D47">
                <w:rPr>
                  <w:rStyle w:val="Hyperlink"/>
                  <w:color w:val="0000FF"/>
                  <w:u w:val="single"/>
                </w:rPr>
                <w:t>examinations@racp.edu.au</w:t>
              </w:r>
            </w:hyperlink>
            <w:r>
              <w:t xml:space="preserve"> (at end of exam hosting cycle)</w:t>
            </w:r>
          </w:p>
        </w:tc>
        <w:tc>
          <w:tcPr>
            <w:tcW w:w="616" w:type="dxa"/>
            <w:vAlign w:val="center"/>
          </w:tcPr>
          <w:p w14:paraId="500F5109" w14:textId="77777777" w:rsidR="00DD772A" w:rsidRPr="00A35CE7" w:rsidRDefault="00DD772A" w:rsidP="00413383">
            <w:pPr>
              <w:pStyle w:val="TableText"/>
              <w:jc w:val="center"/>
            </w:pPr>
            <w:r w:rsidRPr="00684A2A">
              <w:fldChar w:fldCharType="begin">
                <w:ffData>
                  <w:name w:val="Check4"/>
                  <w:enabled w:val="0"/>
                  <w:calcOnExit w:val="0"/>
                  <w:checkBox>
                    <w:sizeAuto/>
                    <w:default w:val="0"/>
                  </w:checkBox>
                </w:ffData>
              </w:fldChar>
            </w:r>
            <w:r w:rsidRPr="00684A2A">
              <w:instrText xml:space="preserve"> FORMCHECKBOX </w:instrText>
            </w:r>
            <w:r>
              <w:fldChar w:fldCharType="separate"/>
            </w:r>
            <w:r w:rsidRPr="00684A2A">
              <w:fldChar w:fldCharType="end"/>
            </w:r>
          </w:p>
        </w:tc>
        <w:tc>
          <w:tcPr>
            <w:tcW w:w="3353" w:type="dxa"/>
          </w:tcPr>
          <w:p w14:paraId="76A4B53C" w14:textId="77777777" w:rsidR="00DD772A" w:rsidRDefault="00DD772A" w:rsidP="00413383">
            <w:pPr>
              <w:pStyle w:val="TableText"/>
            </w:pPr>
          </w:p>
        </w:tc>
      </w:tr>
      <w:tr w:rsidR="00DD772A" w14:paraId="00C6A6B3" w14:textId="77777777" w:rsidTr="00DD772A">
        <w:trPr>
          <w:cantSplit/>
          <w:jc w:val="center"/>
        </w:trPr>
        <w:tc>
          <w:tcPr>
            <w:tcW w:w="5665" w:type="dxa"/>
          </w:tcPr>
          <w:p w14:paraId="01BF9408" w14:textId="77777777" w:rsidR="00DD772A" w:rsidRDefault="00DD772A" w:rsidP="00413383">
            <w:pPr>
              <w:pStyle w:val="TableText"/>
            </w:pPr>
            <w:r>
              <w:t>LEO or Regional Examiner Name:</w:t>
            </w:r>
          </w:p>
          <w:p w14:paraId="2D9E9554" w14:textId="77777777" w:rsidR="00DD772A" w:rsidRDefault="00DD772A" w:rsidP="00413383">
            <w:pPr>
              <w:pStyle w:val="TableText"/>
            </w:pPr>
          </w:p>
          <w:p w14:paraId="37D3879E" w14:textId="77777777" w:rsidR="00DD772A" w:rsidRDefault="00DD772A" w:rsidP="00413383">
            <w:pPr>
              <w:pStyle w:val="TableText"/>
            </w:pPr>
            <w:r>
              <w:t>Hospital Name:</w:t>
            </w:r>
          </w:p>
        </w:tc>
        <w:tc>
          <w:tcPr>
            <w:tcW w:w="616" w:type="dxa"/>
          </w:tcPr>
          <w:p w14:paraId="4906898C" w14:textId="77777777" w:rsidR="00DD772A" w:rsidRPr="00A35CE7" w:rsidRDefault="00DD772A" w:rsidP="00413383">
            <w:pPr>
              <w:pStyle w:val="TableText"/>
            </w:pPr>
          </w:p>
        </w:tc>
        <w:tc>
          <w:tcPr>
            <w:tcW w:w="3353" w:type="dxa"/>
          </w:tcPr>
          <w:p w14:paraId="1AD78ED6" w14:textId="77777777" w:rsidR="00DD772A" w:rsidRDefault="00DD772A" w:rsidP="00413383">
            <w:pPr>
              <w:pStyle w:val="TableText"/>
            </w:pPr>
            <w:r>
              <w:t>Signature:</w:t>
            </w:r>
          </w:p>
          <w:p w14:paraId="5A8F6C73" w14:textId="77777777" w:rsidR="00DD772A" w:rsidRDefault="00DD772A" w:rsidP="00413383">
            <w:pPr>
              <w:pStyle w:val="TableText"/>
            </w:pPr>
          </w:p>
          <w:p w14:paraId="4B406745" w14:textId="77777777" w:rsidR="00DD772A" w:rsidRDefault="00DD772A" w:rsidP="00413383">
            <w:pPr>
              <w:pStyle w:val="TableText"/>
            </w:pPr>
            <w:r>
              <w:t>Date:</w:t>
            </w:r>
          </w:p>
        </w:tc>
      </w:tr>
    </w:tbl>
    <w:p w14:paraId="7FB3193F" w14:textId="77777777" w:rsidR="00D45839" w:rsidRDefault="00A90FC2"/>
    <w:sectPr w:rsidR="00D4583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A6B9" w14:textId="77777777" w:rsidR="00DD772A" w:rsidRDefault="00DD772A" w:rsidP="00DD772A">
      <w:pPr>
        <w:spacing w:after="0" w:line="240" w:lineRule="auto"/>
      </w:pPr>
      <w:r>
        <w:separator/>
      </w:r>
    </w:p>
  </w:endnote>
  <w:endnote w:type="continuationSeparator" w:id="0">
    <w:p w14:paraId="3BFC9AC1" w14:textId="77777777" w:rsidR="00DD772A" w:rsidRDefault="00DD772A" w:rsidP="00DD7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987C" w14:textId="77777777" w:rsidR="00DD772A" w:rsidRDefault="00DD772A" w:rsidP="00DD772A">
      <w:pPr>
        <w:spacing w:after="0" w:line="240" w:lineRule="auto"/>
      </w:pPr>
      <w:r>
        <w:separator/>
      </w:r>
    </w:p>
  </w:footnote>
  <w:footnote w:type="continuationSeparator" w:id="0">
    <w:p w14:paraId="7BB5BE91" w14:textId="77777777" w:rsidR="00DD772A" w:rsidRDefault="00DD772A" w:rsidP="00DD7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90C2" w14:textId="77777777" w:rsidR="00DD772A" w:rsidRPr="00DD772A" w:rsidRDefault="00DD772A" w:rsidP="00DD772A">
    <w:pPr>
      <w:widowControl w:val="0"/>
      <w:kinsoku w:val="0"/>
      <w:overflowPunct w:val="0"/>
      <w:autoSpaceDE w:val="0"/>
      <w:autoSpaceDN w:val="0"/>
      <w:adjustRightInd w:val="0"/>
      <w:spacing w:after="0" w:line="240" w:lineRule="auto"/>
      <w:ind w:left="142" w:right="-613"/>
      <w:rPr>
        <w:rFonts w:ascii="Arial" w:eastAsiaTheme="minorEastAsia" w:hAnsi="Arial" w:cs="Arial"/>
        <w:b/>
        <w:color w:val="44546A" w:themeColor="text2"/>
        <w:spacing w:val="-1"/>
        <w:sz w:val="24"/>
        <w:szCs w:val="20"/>
        <w:lang w:eastAsia="en-AU"/>
      </w:rPr>
    </w:pPr>
    <w:r>
      <w:rPr>
        <w:noProof/>
      </w:rPr>
      <w:drawing>
        <wp:inline distT="0" distB="0" distL="0" distR="0" wp14:anchorId="3B481B47" wp14:editId="584B528D">
          <wp:extent cx="1328928" cy="371856"/>
          <wp:effectExtent l="0" t="0" r="5080" b="9525"/>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8928" cy="371856"/>
                  </a:xfrm>
                  <a:prstGeom prst="rect">
                    <a:avLst/>
                  </a:prstGeom>
                </pic:spPr>
              </pic:pic>
            </a:graphicData>
          </a:graphic>
        </wp:inline>
      </w:drawing>
    </w:r>
    <w:r>
      <w:rPr>
        <w:rFonts w:ascii="Arial" w:hAnsi="Arial" w:cs="Arial"/>
        <w:b/>
        <w:color w:val="44546A" w:themeColor="text2"/>
        <w:spacing w:val="-1"/>
        <w:szCs w:val="20"/>
      </w:rPr>
      <w:tab/>
    </w:r>
    <w:r>
      <w:rPr>
        <w:rFonts w:ascii="Arial" w:hAnsi="Arial" w:cs="Arial"/>
        <w:b/>
        <w:color w:val="44546A" w:themeColor="text2"/>
        <w:spacing w:val="-1"/>
        <w:szCs w:val="20"/>
      </w:rPr>
      <w:tab/>
    </w:r>
    <w:r>
      <w:rPr>
        <w:rFonts w:ascii="Arial" w:hAnsi="Arial" w:cs="Arial"/>
        <w:b/>
        <w:color w:val="44546A" w:themeColor="text2"/>
        <w:spacing w:val="-1"/>
        <w:szCs w:val="20"/>
      </w:rPr>
      <w:tab/>
    </w:r>
    <w:r>
      <w:rPr>
        <w:rFonts w:ascii="Arial" w:hAnsi="Arial" w:cs="Arial"/>
        <w:b/>
        <w:color w:val="44546A" w:themeColor="text2"/>
        <w:spacing w:val="-1"/>
        <w:szCs w:val="20"/>
      </w:rPr>
      <w:tab/>
    </w:r>
    <w:r>
      <w:rPr>
        <w:rFonts w:ascii="Arial" w:hAnsi="Arial" w:cs="Arial"/>
        <w:b/>
        <w:color w:val="44546A" w:themeColor="text2"/>
        <w:spacing w:val="-1"/>
        <w:szCs w:val="20"/>
      </w:rPr>
      <w:tab/>
    </w:r>
    <w:r w:rsidRPr="00DD772A">
      <w:rPr>
        <w:rFonts w:ascii="Arial" w:eastAsiaTheme="minorEastAsia" w:hAnsi="Arial" w:cs="Arial"/>
        <w:b/>
        <w:color w:val="44546A" w:themeColor="text2"/>
        <w:spacing w:val="-1"/>
        <w:sz w:val="24"/>
        <w:szCs w:val="20"/>
        <w:lang w:eastAsia="en-AU"/>
      </w:rPr>
      <w:t>Divisional Clinical Examination</w:t>
    </w:r>
  </w:p>
  <w:p w14:paraId="685613B2" w14:textId="450B9056" w:rsidR="00DD772A" w:rsidRPr="00DD772A" w:rsidRDefault="00DD772A" w:rsidP="00DD772A">
    <w:pPr>
      <w:widowControl w:val="0"/>
      <w:kinsoku w:val="0"/>
      <w:overflowPunct w:val="0"/>
      <w:autoSpaceDE w:val="0"/>
      <w:autoSpaceDN w:val="0"/>
      <w:adjustRightInd w:val="0"/>
      <w:spacing w:after="0" w:line="240" w:lineRule="auto"/>
      <w:ind w:left="142" w:right="-1"/>
      <w:rPr>
        <w:rFonts w:ascii="Arial" w:eastAsiaTheme="minorEastAsia" w:hAnsi="Arial" w:cs="Arial"/>
        <w:b/>
        <w:color w:val="44546A" w:themeColor="text2"/>
        <w:spacing w:val="-1"/>
        <w:sz w:val="24"/>
        <w:szCs w:val="20"/>
        <w:lang w:eastAsia="en-AU"/>
      </w:rPr>
    </w:pPr>
    <w:r w:rsidRPr="00DD772A">
      <w:rPr>
        <w:rFonts w:ascii="Arial" w:eastAsiaTheme="minorEastAsia" w:hAnsi="Arial" w:cs="Arial"/>
        <w:b/>
        <w:color w:val="44546A" w:themeColor="text2"/>
        <w:spacing w:val="-1"/>
        <w:sz w:val="24"/>
        <w:szCs w:val="20"/>
        <w:lang w:eastAsia="en-AU"/>
      </w:rPr>
      <w:tab/>
    </w:r>
    <w:r w:rsidRPr="00DD772A">
      <w:rPr>
        <w:rFonts w:ascii="Arial" w:eastAsiaTheme="minorEastAsia" w:hAnsi="Arial" w:cs="Arial"/>
        <w:b/>
        <w:color w:val="44546A" w:themeColor="text2"/>
        <w:spacing w:val="-1"/>
        <w:sz w:val="24"/>
        <w:szCs w:val="20"/>
        <w:lang w:eastAsia="en-AU"/>
      </w:rPr>
      <w:tab/>
    </w:r>
    <w:r w:rsidRPr="00DD772A">
      <w:rPr>
        <w:rFonts w:ascii="Arial" w:eastAsiaTheme="minorEastAsia" w:hAnsi="Arial" w:cs="Arial"/>
        <w:b/>
        <w:color w:val="44546A" w:themeColor="text2"/>
        <w:spacing w:val="-1"/>
        <w:sz w:val="24"/>
        <w:szCs w:val="20"/>
        <w:lang w:eastAsia="en-AU"/>
      </w:rPr>
      <w:tab/>
    </w:r>
    <w:r w:rsidRPr="00DD772A">
      <w:rPr>
        <w:rFonts w:ascii="Arial" w:eastAsiaTheme="minorEastAsia" w:hAnsi="Arial" w:cs="Arial"/>
        <w:b/>
        <w:color w:val="44546A" w:themeColor="text2"/>
        <w:spacing w:val="-1"/>
        <w:sz w:val="24"/>
        <w:szCs w:val="20"/>
        <w:lang w:eastAsia="en-AU"/>
      </w:rPr>
      <w:tab/>
    </w:r>
    <w:r w:rsidRPr="00DD772A">
      <w:rPr>
        <w:rFonts w:ascii="Arial" w:eastAsiaTheme="minorEastAsia" w:hAnsi="Arial" w:cs="Arial"/>
        <w:b/>
        <w:color w:val="44546A" w:themeColor="text2"/>
        <w:spacing w:val="-1"/>
        <w:sz w:val="24"/>
        <w:szCs w:val="20"/>
        <w:lang w:eastAsia="en-AU"/>
      </w:rPr>
      <w:tab/>
    </w:r>
    <w:r w:rsidRPr="00DD772A">
      <w:rPr>
        <w:rFonts w:ascii="Arial" w:eastAsiaTheme="minorEastAsia" w:hAnsi="Arial" w:cs="Arial"/>
        <w:b/>
        <w:color w:val="44546A" w:themeColor="text2"/>
        <w:spacing w:val="-1"/>
        <w:sz w:val="24"/>
        <w:szCs w:val="20"/>
        <w:lang w:eastAsia="en-AU"/>
      </w:rPr>
      <w:tab/>
    </w:r>
    <w:r w:rsidRPr="00DD772A">
      <w:rPr>
        <w:rFonts w:ascii="Arial" w:eastAsiaTheme="minorEastAsia" w:hAnsi="Arial" w:cs="Arial"/>
        <w:b/>
        <w:color w:val="44546A" w:themeColor="text2"/>
        <w:spacing w:val="-1"/>
        <w:sz w:val="24"/>
        <w:szCs w:val="20"/>
        <w:lang w:eastAsia="en-AU"/>
      </w:rPr>
      <w:tab/>
    </w:r>
    <w:r w:rsidRPr="00DD772A">
      <w:rPr>
        <w:rFonts w:ascii="Arial" w:eastAsiaTheme="minorEastAsia" w:hAnsi="Arial" w:cs="Arial"/>
        <w:b/>
        <w:color w:val="44546A" w:themeColor="text2"/>
        <w:spacing w:val="-1"/>
        <w:sz w:val="24"/>
        <w:szCs w:val="20"/>
        <w:lang w:eastAsia="en-AU"/>
      </w:rPr>
      <w:tab/>
      <w:t>Adult Medicine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6DE5"/>
    <w:multiLevelType w:val="multilevel"/>
    <w:tmpl w:val="56F4663A"/>
    <w:lvl w:ilvl="0">
      <w:start w:val="1"/>
      <w:numFmt w:val="decimal"/>
      <w:lvlText w:val="%1)"/>
      <w:lvlJc w:val="left"/>
      <w:pPr>
        <w:ind w:left="360" w:hanging="360"/>
      </w:pPr>
      <w:rPr>
        <w:rFonts w:hint="default"/>
        <w:b w:val="0"/>
        <w:bCs/>
        <w:color w:val="auto"/>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C46911"/>
    <w:multiLevelType w:val="multilevel"/>
    <w:tmpl w:val="56F4663A"/>
    <w:lvl w:ilvl="0">
      <w:start w:val="1"/>
      <w:numFmt w:val="decimal"/>
      <w:lvlText w:val="%1)"/>
      <w:lvlJc w:val="left"/>
      <w:pPr>
        <w:ind w:left="360" w:hanging="360"/>
      </w:pPr>
      <w:rPr>
        <w:rFonts w:hint="default"/>
        <w:b w:val="0"/>
        <w:bCs/>
        <w:color w:val="auto"/>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C573DB"/>
    <w:multiLevelType w:val="multilevel"/>
    <w:tmpl w:val="56F4663A"/>
    <w:lvl w:ilvl="0">
      <w:start w:val="1"/>
      <w:numFmt w:val="decimal"/>
      <w:lvlText w:val="%1)"/>
      <w:lvlJc w:val="left"/>
      <w:pPr>
        <w:ind w:left="360" w:hanging="360"/>
      </w:pPr>
      <w:rPr>
        <w:rFonts w:hint="default"/>
        <w:b w:val="0"/>
        <w:bCs/>
        <w:color w:val="auto"/>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F02F94"/>
    <w:multiLevelType w:val="multilevel"/>
    <w:tmpl w:val="56F4663A"/>
    <w:lvl w:ilvl="0">
      <w:start w:val="1"/>
      <w:numFmt w:val="decimal"/>
      <w:lvlText w:val="%1)"/>
      <w:lvlJc w:val="left"/>
      <w:pPr>
        <w:ind w:left="360" w:hanging="360"/>
      </w:pPr>
      <w:rPr>
        <w:rFonts w:hint="default"/>
        <w:b w:val="0"/>
        <w:bCs/>
        <w:color w:val="auto"/>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F55F0F"/>
    <w:multiLevelType w:val="hybridMultilevel"/>
    <w:tmpl w:val="2A3A7A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EF347F"/>
    <w:multiLevelType w:val="hybridMultilevel"/>
    <w:tmpl w:val="828A72A8"/>
    <w:lvl w:ilvl="0" w:tplc="F91AE840">
      <w:start w:val="1"/>
      <w:numFmt w:val="decimal"/>
      <w:lvlText w:val="%1)"/>
      <w:lvlJc w:val="left"/>
      <w:pPr>
        <w:ind w:left="360" w:hanging="360"/>
      </w:pPr>
      <w:rPr>
        <w:rFonts w:hint="default"/>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3E9086F"/>
    <w:multiLevelType w:val="hybridMultilevel"/>
    <w:tmpl w:val="544A2F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4879E9"/>
    <w:multiLevelType w:val="hybridMultilevel"/>
    <w:tmpl w:val="6E6239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2A"/>
    <w:rsid w:val="00577B05"/>
    <w:rsid w:val="00A90FC2"/>
    <w:rsid w:val="00D93E13"/>
    <w:rsid w:val="00DD7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A88C"/>
  <w15:chartTrackingRefBased/>
  <w15:docId w15:val="{4E1FFEAA-B207-49E7-AA8A-53FA0323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1"/>
    <w:qFormat/>
    <w:rsid w:val="00DD772A"/>
    <w:pPr>
      <w:widowControl w:val="0"/>
      <w:autoSpaceDE w:val="0"/>
      <w:autoSpaceDN w:val="0"/>
      <w:adjustRightInd w:val="0"/>
      <w:spacing w:before="240" w:after="120" w:line="240" w:lineRule="auto"/>
      <w:jc w:val="both"/>
      <w:outlineLvl w:val="2"/>
    </w:pPr>
    <w:rPr>
      <w:rFonts w:ascii="Arial" w:eastAsiaTheme="minorEastAsia" w:hAnsi="Arial" w:cs="Arial"/>
      <w:b/>
      <w:color w:val="38496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72A"/>
  </w:style>
  <w:style w:type="paragraph" w:styleId="Footer">
    <w:name w:val="footer"/>
    <w:basedOn w:val="Normal"/>
    <w:link w:val="FooterChar"/>
    <w:uiPriority w:val="99"/>
    <w:unhideWhenUsed/>
    <w:rsid w:val="00DD7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72A"/>
  </w:style>
  <w:style w:type="character" w:customStyle="1" w:styleId="Heading3Char">
    <w:name w:val="Heading 3 Char"/>
    <w:basedOn w:val="DefaultParagraphFont"/>
    <w:link w:val="Heading3"/>
    <w:uiPriority w:val="1"/>
    <w:rsid w:val="00DD772A"/>
    <w:rPr>
      <w:rFonts w:ascii="Arial" w:eastAsiaTheme="minorEastAsia" w:hAnsi="Arial" w:cs="Arial"/>
      <w:b/>
      <w:color w:val="384967"/>
      <w:sz w:val="24"/>
    </w:rPr>
  </w:style>
  <w:style w:type="paragraph" w:customStyle="1" w:styleId="TableText">
    <w:name w:val="Table Text"/>
    <w:basedOn w:val="Normal"/>
    <w:qFormat/>
    <w:rsid w:val="00DD772A"/>
    <w:pPr>
      <w:spacing w:before="60" w:after="60" w:line="240" w:lineRule="auto"/>
    </w:pPr>
    <w:rPr>
      <w:rFonts w:ascii="Arial" w:eastAsia="Times New Roman" w:hAnsi="Arial" w:cs="Times New Roman"/>
      <w:sz w:val="20"/>
      <w:szCs w:val="20"/>
      <w:lang w:eastAsia="en-AU"/>
    </w:rPr>
  </w:style>
  <w:style w:type="table" w:styleId="TableGrid">
    <w:name w:val="Table Grid"/>
    <w:basedOn w:val="TableNormal"/>
    <w:rsid w:val="00DD772A"/>
    <w:pPr>
      <w:spacing w:after="0" w:line="240" w:lineRule="auto"/>
    </w:pPr>
    <w:rPr>
      <w:rFonts w:eastAsiaTheme="minorEastAsia"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72A"/>
    <w:rPr>
      <w:rFonts w:ascii="Arial" w:hAnsi="Arial"/>
      <w:color w:val="0D0D0D" w:themeColor="text1" w:themeTint="F2"/>
      <w:u w:val="none"/>
    </w:rPr>
  </w:style>
  <w:style w:type="paragraph" w:customStyle="1" w:styleId="TableHeading">
    <w:name w:val="Table Heading"/>
    <w:basedOn w:val="TableText"/>
    <w:qFormat/>
    <w:rsid w:val="00DD772A"/>
    <w:pPr>
      <w:jc w:val="center"/>
    </w:pPr>
    <w:rPr>
      <w:rFonts w:eastAsiaTheme="minorHAnsi" w:cstheme="minorBidi"/>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E@racp.edu.au" TargetMode="External"/><Relationship Id="rId13" Type="http://schemas.openxmlformats.org/officeDocument/2006/relationships/hyperlink" Target="mailto:examinations@racp.edu.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CE@racp.edu.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aminations@racp.edu.au" TargetMode="External"/><Relationship Id="rId5" Type="http://schemas.openxmlformats.org/officeDocument/2006/relationships/webSettings" Target="webSettings.xml"/><Relationship Id="rId15" Type="http://schemas.openxmlformats.org/officeDocument/2006/relationships/hyperlink" Target="mailto:examinations@racp.edu.au" TargetMode="External"/><Relationship Id="rId10" Type="http://schemas.openxmlformats.org/officeDocument/2006/relationships/hyperlink" Target="mailto:If" TargetMode="External"/><Relationship Id="rId4" Type="http://schemas.openxmlformats.org/officeDocument/2006/relationships/settings" Target="settings.xml"/><Relationship Id="rId9" Type="http://schemas.openxmlformats.org/officeDocument/2006/relationships/hyperlink" Target="mailto:examinations@racp.edu.au" TargetMode="External"/><Relationship Id="rId14" Type="http://schemas.openxmlformats.org/officeDocument/2006/relationships/hyperlink" Target="mailto:examinations@racp.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BACD8-673B-4B2B-BA18-AB10995F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Freeman</dc:creator>
  <cp:keywords/>
  <dc:description/>
  <cp:lastModifiedBy>Melissa Freeman</cp:lastModifiedBy>
  <cp:revision>1</cp:revision>
  <dcterms:created xsi:type="dcterms:W3CDTF">2021-06-27T02:28:00Z</dcterms:created>
  <dcterms:modified xsi:type="dcterms:W3CDTF">2021-06-27T02:47:00Z</dcterms:modified>
</cp:coreProperties>
</file>